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0C92F" w14:textId="45FB7B4E" w:rsidR="00981D0D" w:rsidRPr="00DB3907" w:rsidRDefault="00981D0D" w:rsidP="00AC033F">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w:t>
      </w:r>
      <w:r w:rsidR="004235C4">
        <w:rPr>
          <w:rFonts w:cs="Courier New"/>
          <w:sz w:val="24"/>
          <w:szCs w:val="24"/>
          <w:lang w:val="de-DE"/>
        </w:rPr>
        <w:t>bis</w:t>
      </w:r>
      <w:r w:rsidRPr="00DB3907">
        <w:rPr>
          <w:rFonts w:cs="Courier New"/>
          <w:sz w:val="24"/>
          <w:szCs w:val="24"/>
          <w:lang w:val="de-DE"/>
        </w:rPr>
        <w:tab/>
        <w:t>R4-</w:t>
      </w:r>
      <w:r w:rsidR="00FF60E9" w:rsidRPr="00FF60E9">
        <w:t xml:space="preserve"> </w:t>
      </w:r>
      <w:r w:rsidR="00FF60E9" w:rsidRPr="00FF60E9">
        <w:rPr>
          <w:rFonts w:cs="Courier New"/>
          <w:sz w:val="24"/>
          <w:szCs w:val="24"/>
          <w:lang w:val="de-DE"/>
        </w:rPr>
        <w:t>167746</w:t>
      </w:r>
    </w:p>
    <w:p w14:paraId="2B54F3F5" w14:textId="77777777" w:rsidR="004235C4" w:rsidRPr="00DB3907" w:rsidRDefault="004235C4" w:rsidP="004235C4">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14:paraId="751FD691" w14:textId="77777777" w:rsidR="004235C4" w:rsidRPr="00DB3907" w:rsidRDefault="004235C4" w:rsidP="004235C4">
      <w:pPr>
        <w:pStyle w:val="Header"/>
        <w:rPr>
          <w:rFonts w:cs="Arial"/>
          <w:sz w:val="24"/>
          <w:szCs w:val="24"/>
        </w:rPr>
      </w:pPr>
      <w:r>
        <w:rPr>
          <w:rFonts w:cs="Arial"/>
          <w:sz w:val="24"/>
          <w:szCs w:val="24"/>
        </w:rPr>
        <w:t>Ljubljana, SI</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1A7E9CDD"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BE2322">
        <w:rPr>
          <w:rFonts w:ascii="Arial" w:hAnsi="Arial"/>
          <w:sz w:val="24"/>
          <w:lang w:val="en-US"/>
        </w:rPr>
        <w:t>5</w:t>
      </w:r>
      <w:r w:rsidR="00944668">
        <w:rPr>
          <w:rFonts w:ascii="Arial" w:hAnsi="Arial"/>
          <w:sz w:val="24"/>
          <w:lang w:val="en-US"/>
        </w:rPr>
        <w:t>.</w:t>
      </w:r>
      <w:r w:rsidR="00BE2322">
        <w:rPr>
          <w:rFonts w:ascii="Arial" w:hAnsi="Arial"/>
          <w:sz w:val="24"/>
          <w:lang w:val="en-US"/>
        </w:rPr>
        <w:t>4</w:t>
      </w:r>
      <w:r w:rsidR="00944668">
        <w:rPr>
          <w:rFonts w:ascii="Arial" w:hAnsi="Arial"/>
          <w:sz w:val="24"/>
          <w:lang w:val="en-US"/>
        </w:rPr>
        <w:t>.</w:t>
      </w:r>
      <w:r w:rsidR="00BE2322">
        <w:rPr>
          <w:rFonts w:ascii="Arial" w:hAnsi="Arial"/>
          <w:sz w:val="24"/>
          <w:lang w:val="en-US"/>
        </w:rPr>
        <w:t>1</w:t>
      </w:r>
    </w:p>
    <w:p w14:paraId="2BBA7BF1"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5D55C99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632C9">
        <w:rPr>
          <w:rFonts w:ascii="Arial" w:hAnsi="Arial"/>
          <w:sz w:val="24"/>
          <w:lang w:val="en-US"/>
        </w:rPr>
        <w:t>On MSD</w:t>
      </w:r>
      <w:r w:rsidRPr="00996774">
        <w:rPr>
          <w:rFonts w:ascii="Arial" w:hAnsi="Arial"/>
          <w:sz w:val="24"/>
          <w:lang w:val="en-US"/>
        </w:rPr>
        <w:t xml:space="preserve"> </w:t>
      </w:r>
      <w:r w:rsidR="003632C9">
        <w:rPr>
          <w:rFonts w:ascii="Arial" w:hAnsi="Arial"/>
          <w:sz w:val="24"/>
          <w:lang w:val="en-US"/>
        </w:rPr>
        <w:t>and REFSENS exception for 10MHz LAA channels</w:t>
      </w:r>
    </w:p>
    <w:p w14:paraId="0539B97D" w14:textId="57331266"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3632C9">
        <w:rPr>
          <w:rFonts w:ascii="Arial" w:hAnsi="Arial"/>
          <w:sz w:val="24"/>
          <w:lang w:val="en-US"/>
        </w:rPr>
        <w:t>Approval</w:t>
      </w:r>
    </w:p>
    <w:p w14:paraId="7EBF3876" w14:textId="0107D083" w:rsidR="003632C9" w:rsidRDefault="003632C9" w:rsidP="003632C9">
      <w:pPr>
        <w:pStyle w:val="Heading1"/>
        <w:tabs>
          <w:tab w:val="clear" w:pos="432"/>
          <w:tab w:val="num" w:pos="522"/>
        </w:tabs>
        <w:ind w:left="522" w:hanging="522"/>
        <w:jc w:val="both"/>
        <w:rPr>
          <w:lang w:val="en-US"/>
        </w:rPr>
      </w:pPr>
      <w:r>
        <w:rPr>
          <w:lang w:val="en-US"/>
        </w:rPr>
        <w:t>Introduction</w:t>
      </w:r>
    </w:p>
    <w:p w14:paraId="6BE856EC" w14:textId="77777777" w:rsidR="003632C9" w:rsidRDefault="003632C9" w:rsidP="003632C9">
      <w:pPr>
        <w:jc w:val="both"/>
        <w:rPr>
          <w:lang w:val="en-US"/>
        </w:rPr>
      </w:pPr>
      <w:r>
        <w:t xml:space="preserve">In RAN4 #80 very good progress was made on the specification of MSD for CA involving Band 46. </w:t>
      </w:r>
      <w:r>
        <w:rPr>
          <w:lang w:val="en-US"/>
        </w:rPr>
        <w:t xml:space="preserve">A way forward was approved with major agreements on the specification of the “gap” determining the REFSENS exclusion region </w:t>
      </w:r>
      <w:r>
        <w:rPr>
          <w:lang w:val="en-US"/>
        </w:rPr>
        <w:fldChar w:fldCharType="begin"/>
      </w:r>
      <w:r>
        <w:rPr>
          <w:lang w:val="en-US"/>
        </w:rPr>
        <w:instrText xml:space="preserve"> REF _Ref462841087 \r \h </w:instrText>
      </w:r>
      <w:r>
        <w:rPr>
          <w:lang w:val="en-US"/>
        </w:rPr>
      </w:r>
      <w:r>
        <w:rPr>
          <w:lang w:val="en-US"/>
        </w:rPr>
        <w:fldChar w:fldCharType="separate"/>
      </w:r>
      <w:r w:rsidR="004E2728">
        <w:rPr>
          <w:lang w:val="en-US"/>
        </w:rPr>
        <w:t>[1]</w:t>
      </w:r>
      <w:r>
        <w:rPr>
          <w:lang w:val="en-US"/>
        </w:rPr>
        <w:fldChar w:fldCharType="end"/>
      </w:r>
      <w:r>
        <w:rPr>
          <w:lang w:val="en-US"/>
        </w:rPr>
        <w:t xml:space="preserve">. The outcome of this WF was ratified in Rel 13 and Rel 14 CRs to TS 36.101 </w:t>
      </w:r>
      <w:r>
        <w:rPr>
          <w:lang w:val="en-US"/>
        </w:rPr>
        <w:fldChar w:fldCharType="begin"/>
      </w:r>
      <w:r>
        <w:rPr>
          <w:lang w:val="en-US"/>
        </w:rPr>
        <w:instrText xml:space="preserve"> REF _Ref462756487 \r \h </w:instrText>
      </w:r>
      <w:r>
        <w:rPr>
          <w:lang w:val="en-US"/>
        </w:rPr>
      </w:r>
      <w:r>
        <w:rPr>
          <w:lang w:val="en-US"/>
        </w:rPr>
        <w:fldChar w:fldCharType="separate"/>
      </w:r>
      <w:r w:rsidR="004E2728">
        <w:rPr>
          <w:lang w:val="en-US"/>
        </w:rPr>
        <w:t>[2]</w:t>
      </w:r>
      <w:r>
        <w:rPr>
          <w:lang w:val="en-US"/>
        </w:rPr>
        <w:fldChar w:fldCharType="end"/>
      </w:r>
      <w:r>
        <w:rPr>
          <w:lang w:val="en-US"/>
        </w:rPr>
        <w:fldChar w:fldCharType="begin"/>
      </w:r>
      <w:r>
        <w:rPr>
          <w:lang w:val="en-US"/>
        </w:rPr>
        <w:instrText xml:space="preserve"> REF _Ref462756489 \r \h </w:instrText>
      </w:r>
      <w:r>
        <w:rPr>
          <w:lang w:val="en-US"/>
        </w:rPr>
      </w:r>
      <w:r>
        <w:rPr>
          <w:lang w:val="en-US"/>
        </w:rPr>
        <w:fldChar w:fldCharType="separate"/>
      </w:r>
      <w:r w:rsidR="004E2728">
        <w:rPr>
          <w:lang w:val="en-US"/>
        </w:rPr>
        <w:t>[3]</w:t>
      </w:r>
      <w:r>
        <w:rPr>
          <w:lang w:val="en-US"/>
        </w:rPr>
        <w:fldChar w:fldCharType="end"/>
      </w:r>
      <w:r>
        <w:rPr>
          <w:lang w:val="en-US"/>
        </w:rPr>
        <w:fldChar w:fldCharType="begin"/>
      </w:r>
      <w:r>
        <w:rPr>
          <w:lang w:val="en-US"/>
        </w:rPr>
        <w:instrText xml:space="preserve"> REF _Ref462756491 \r \h </w:instrText>
      </w:r>
      <w:r>
        <w:rPr>
          <w:lang w:val="en-US"/>
        </w:rPr>
      </w:r>
      <w:r>
        <w:rPr>
          <w:lang w:val="en-US"/>
        </w:rPr>
        <w:fldChar w:fldCharType="separate"/>
      </w:r>
      <w:r w:rsidR="004E2728">
        <w:rPr>
          <w:lang w:val="en-US"/>
        </w:rPr>
        <w:t>[4]</w:t>
      </w:r>
      <w:r>
        <w:rPr>
          <w:lang w:val="en-US"/>
        </w:rPr>
        <w:fldChar w:fldCharType="end"/>
      </w:r>
      <w:r>
        <w:rPr>
          <w:lang w:val="en-US"/>
        </w:rPr>
        <w:t xml:space="preserve">. </w:t>
      </w:r>
    </w:p>
    <w:p w14:paraId="08E60E91" w14:textId="62A41B84" w:rsidR="003632C9" w:rsidRDefault="003632C9" w:rsidP="003632C9">
      <w:pPr>
        <w:jc w:val="both"/>
        <w:rPr>
          <w:lang w:val="en-US"/>
        </w:rPr>
      </w:pPr>
      <w:r>
        <w:rPr>
          <w:lang w:val="en-US"/>
        </w:rPr>
        <w:t xml:space="preserve">While all the work done so far addressed 20MHz LAA channels, i.e. REFSENS for 20MHz channels in band 46, this contribution takes into 10MHz channels. We will provide generic observations about how to handle the LAA 10MHz case and we will also make specific proposals. </w:t>
      </w:r>
    </w:p>
    <w:p w14:paraId="599AA0F1" w14:textId="77777777" w:rsidR="003632C9" w:rsidRDefault="003632C9" w:rsidP="003632C9">
      <w:pPr>
        <w:pStyle w:val="Heading1"/>
        <w:tabs>
          <w:tab w:val="clear" w:pos="432"/>
          <w:tab w:val="num" w:pos="522"/>
        </w:tabs>
        <w:ind w:left="522" w:hanging="522"/>
        <w:jc w:val="both"/>
        <w:rPr>
          <w:lang w:val="en-US"/>
        </w:rPr>
      </w:pPr>
      <w:r>
        <w:rPr>
          <w:lang w:val="en-US"/>
        </w:rPr>
        <w:t>Discussion</w:t>
      </w:r>
    </w:p>
    <w:p w14:paraId="3F238D55" w14:textId="3B1F7328" w:rsidR="003632C9" w:rsidRDefault="003632C9" w:rsidP="003632C9">
      <w:pPr>
        <w:jc w:val="both"/>
        <w:rPr>
          <w:lang w:val="en-US"/>
        </w:rPr>
      </w:pPr>
      <w:r>
        <w:rPr>
          <w:lang w:val="en-US"/>
        </w:rPr>
        <w:t>So far two approached have been used to taken into account LAA desense due to UL transmission in license carriers:</w:t>
      </w:r>
    </w:p>
    <w:p w14:paraId="6D784C99" w14:textId="1D990A13" w:rsidR="003632C9" w:rsidRDefault="003632C9" w:rsidP="003632C9">
      <w:pPr>
        <w:pStyle w:val="ListParagraph"/>
        <w:numPr>
          <w:ilvl w:val="0"/>
          <w:numId w:val="44"/>
        </w:numPr>
        <w:jc w:val="both"/>
        <w:rPr>
          <w:lang w:val="en-US"/>
        </w:rPr>
      </w:pPr>
      <w:r>
        <w:rPr>
          <w:lang w:val="en-US"/>
        </w:rPr>
        <w:t>For the case of close proximity between license and unlicensed (B46) carriers and MSD value is specified in 36.101. In particular this was done for B42+B46 where B46 desense is present due to poor cross band isolation. The MSD value specified for the 20MHz LAA channel is 7dB, i.e. CA_42A-46A REFSENSE is -83dBm.</w:t>
      </w:r>
    </w:p>
    <w:p w14:paraId="7B465D67" w14:textId="19992B1A" w:rsidR="003632C9" w:rsidRDefault="003632C9" w:rsidP="003632C9">
      <w:pPr>
        <w:pStyle w:val="ListParagraph"/>
        <w:numPr>
          <w:ilvl w:val="0"/>
          <w:numId w:val="44"/>
        </w:numPr>
        <w:jc w:val="both"/>
        <w:rPr>
          <w:lang w:val="en-US"/>
        </w:rPr>
      </w:pPr>
      <w:r>
        <w:rPr>
          <w:lang w:val="en-US"/>
        </w:rPr>
        <w:t xml:space="preserve">For the case of MSD due two harmonics an exception to the REFSENS test is provided in </w:t>
      </w:r>
      <w:r w:rsidRPr="003632C9">
        <w:rPr>
          <w:lang w:val="en-US"/>
        </w:rPr>
        <w:t>Table 7.3.1A-0eA</w:t>
      </w:r>
      <w:r>
        <w:rPr>
          <w:lang w:val="en-US"/>
        </w:rPr>
        <w:t>. In particular a note specifies the region in which the -90dBm REFSENS does not apply. This is done for each harmonic case. The MSD values provided by different companies are not specified in TS 36.101, but rather documented in the CA TR.</w:t>
      </w:r>
    </w:p>
    <w:p w14:paraId="1D45E619" w14:textId="1A23EA9D" w:rsidR="003632C9" w:rsidRDefault="003632C9" w:rsidP="003632C9">
      <w:pPr>
        <w:jc w:val="both"/>
        <w:rPr>
          <w:lang w:val="en-US"/>
        </w:rPr>
      </w:pPr>
      <w:r>
        <w:rPr>
          <w:lang w:val="en-US"/>
        </w:rPr>
        <w:t>For the case of pure cross band isolation, the same approach can be adopted in case of 10MHz channel, i.e. the REFSENSE</w:t>
      </w:r>
      <w:r w:rsidRPr="003632C9">
        <w:rPr>
          <w:lang w:val="en-US"/>
        </w:rPr>
        <w:t xml:space="preserve"> </w:t>
      </w:r>
      <w:r>
        <w:rPr>
          <w:lang w:val="en-US"/>
        </w:rPr>
        <w:t xml:space="preserve">for B42+B46 needs to be updated to consider the desens due to B42 over the 10MHz LAA channel. For this we will provide a specific </w:t>
      </w:r>
      <w:r w:rsidR="00180F33">
        <w:rPr>
          <w:lang w:val="en-US"/>
        </w:rPr>
        <w:t>observation</w:t>
      </w:r>
      <w:r>
        <w:rPr>
          <w:lang w:val="en-US"/>
        </w:rPr>
        <w:t xml:space="preserve"> in section</w:t>
      </w:r>
      <w:r w:rsidR="00180F33">
        <w:rPr>
          <w:lang w:val="en-US"/>
        </w:rPr>
        <w:t xml:space="preserve"> </w:t>
      </w:r>
      <w:r w:rsidR="00180F33">
        <w:rPr>
          <w:lang w:val="en-US"/>
        </w:rPr>
        <w:fldChar w:fldCharType="begin"/>
      </w:r>
      <w:r w:rsidR="00180F33">
        <w:rPr>
          <w:lang w:val="en-US"/>
        </w:rPr>
        <w:instrText xml:space="preserve"> REF _Ref463041980 \r \h </w:instrText>
      </w:r>
      <w:r w:rsidR="00180F33">
        <w:rPr>
          <w:lang w:val="en-US"/>
        </w:rPr>
      </w:r>
      <w:r w:rsidR="00180F33">
        <w:rPr>
          <w:lang w:val="en-US"/>
        </w:rPr>
        <w:fldChar w:fldCharType="separate"/>
      </w:r>
      <w:r w:rsidR="004E2728">
        <w:rPr>
          <w:lang w:val="en-US"/>
        </w:rPr>
        <w:t>2.1</w:t>
      </w:r>
      <w:r w:rsidR="00180F33">
        <w:rPr>
          <w:lang w:val="en-US"/>
        </w:rPr>
        <w:fldChar w:fldCharType="end"/>
      </w:r>
      <w:r>
        <w:rPr>
          <w:lang w:val="en-US"/>
        </w:rPr>
        <w:t>.</w:t>
      </w:r>
    </w:p>
    <w:p w14:paraId="4BD28EE8" w14:textId="7D68CFCF" w:rsidR="00AD2536" w:rsidRDefault="003632C9" w:rsidP="003632C9">
      <w:pPr>
        <w:jc w:val="both"/>
        <w:rPr>
          <w:lang w:val="en-US"/>
        </w:rPr>
      </w:pPr>
      <w:r>
        <w:rPr>
          <w:lang w:val="en-US"/>
        </w:rPr>
        <w:t>The harmonic case is a bit more complicated to be handles and requires some clarification. First of all it is important to understand if the 10MHz channels can be placed all over Band 46 or only few carrier frequencies are allowed.</w:t>
      </w:r>
      <w:r w:rsidR="00AD2536">
        <w:rPr>
          <w:lang w:val="en-US"/>
        </w:rPr>
        <w:t xml:space="preserve"> After an extremely long discussion, in RAN4 #78bis (meeting in Cabo) a “</w:t>
      </w:r>
      <w:r w:rsidR="00AD2536" w:rsidRPr="00AD2536">
        <w:rPr>
          <w:lang w:val="en-US"/>
        </w:rPr>
        <w:t>WF on LAA Bandwidth combination sets in CA basket work items</w:t>
      </w:r>
      <w:r w:rsidR="00AD2536">
        <w:rPr>
          <w:lang w:val="en-US"/>
        </w:rPr>
        <w:t>” was approved. Regarding the channel raster, the WF includes the following text in the note for B46 channel raster:</w:t>
      </w:r>
    </w:p>
    <w:p w14:paraId="089E9AD6" w14:textId="77777777" w:rsidR="00AB4672" w:rsidRPr="00AD2536" w:rsidRDefault="0007676D" w:rsidP="00AD2536">
      <w:pPr>
        <w:jc w:val="both"/>
        <w:rPr>
          <w:i/>
          <w:lang w:val="en-US"/>
        </w:rPr>
      </w:pPr>
      <w:r w:rsidRPr="00AD2536">
        <w:rPr>
          <w:i/>
          <w:lang w:val="en-US"/>
        </w:rPr>
        <w:t xml:space="preserve">NDL and NUL are allowed for operation in Band 46 assuming 10MHz channel bandwidth NDL =NUL = {n-2, n-1, n, n+1, n+2 | n = 52590 (5730 MHz), 53590 (5830 MHz)} . 10 MHz operation in Band 46 is specified for deployment in India and other regions are FFS. </w:t>
      </w:r>
      <w:r w:rsidRPr="00AD2536">
        <w:rPr>
          <w:i/>
        </w:rPr>
        <w:t>10 MHz bandwidth shall not be used when overlapping with a 20MHz channel where the absence of non 3GPP technologies cannot be guaranteed on a long term basis (e.g., by level of regulation) unless additional work on channel access is agreed and completed to ensure fair coexistence with these other non 3GPP technologies</w:t>
      </w:r>
    </w:p>
    <w:p w14:paraId="24160FCC" w14:textId="6C00CD7B" w:rsidR="00AD2536" w:rsidRDefault="00AD2536" w:rsidP="003632C9">
      <w:pPr>
        <w:jc w:val="both"/>
        <w:rPr>
          <w:lang w:val="en-US"/>
        </w:rPr>
      </w:pPr>
      <w:r>
        <w:rPr>
          <w:lang w:val="en-US"/>
        </w:rPr>
        <w:t xml:space="preserve">From the note it was clear that only two 10MHz channels were allowed, i.e. channels centered in 5730MHz and 5830MHz, respectively. However, this agreement is not captured in TS 36.104 and TS 36.141 specifications yet. Therefore we ask RAN4 to clarify this aspect. </w:t>
      </w:r>
    </w:p>
    <w:p w14:paraId="24174A5B" w14:textId="7A11C9CB" w:rsidR="003632C9" w:rsidRPr="00AD2536" w:rsidRDefault="00AD2536" w:rsidP="003632C9">
      <w:pPr>
        <w:jc w:val="both"/>
        <w:rPr>
          <w:b/>
          <w:i/>
          <w:lang w:val="en-US"/>
        </w:rPr>
      </w:pPr>
      <w:r w:rsidRPr="00AD2536">
        <w:rPr>
          <w:b/>
          <w:i/>
          <w:lang w:val="en-US"/>
        </w:rPr>
        <w:t>Observation 1: RAN4 should clarify where the 10MHz LAA channels are located.</w:t>
      </w:r>
      <w:r w:rsidR="003632C9" w:rsidRPr="00AD2536">
        <w:rPr>
          <w:b/>
          <w:i/>
          <w:lang w:val="en-US"/>
        </w:rPr>
        <w:t xml:space="preserve"> </w:t>
      </w:r>
    </w:p>
    <w:p w14:paraId="0654DD69" w14:textId="77777777" w:rsidR="00AD2536" w:rsidRDefault="00AD2536" w:rsidP="003632C9">
      <w:pPr>
        <w:jc w:val="both"/>
        <w:rPr>
          <w:lang w:val="en-US"/>
        </w:rPr>
      </w:pPr>
      <w:r>
        <w:rPr>
          <w:lang w:val="en-US"/>
        </w:rPr>
        <w:t xml:space="preserve">Another observations is that, even if only few raster for B46 10MHz channels will be allowed in BS specification, UE specification still allow full 100KHz raster granularity. We raised several times this issue asking to align BS and UE </w:t>
      </w:r>
      <w:r>
        <w:rPr>
          <w:lang w:val="en-US"/>
        </w:rPr>
        <w:lastRenderedPageBreak/>
        <w:t xml:space="preserve">channel raster for Band 46 </w:t>
      </w:r>
      <w:r>
        <w:rPr>
          <w:lang w:val="en-US"/>
        </w:rPr>
        <w:fldChar w:fldCharType="begin"/>
      </w:r>
      <w:r>
        <w:rPr>
          <w:lang w:val="en-US"/>
        </w:rPr>
        <w:instrText xml:space="preserve"> REF _Ref462843010 \r \h </w:instrText>
      </w:r>
      <w:r>
        <w:rPr>
          <w:lang w:val="en-US"/>
        </w:rPr>
      </w:r>
      <w:r>
        <w:rPr>
          <w:lang w:val="en-US"/>
        </w:rPr>
        <w:fldChar w:fldCharType="separate"/>
      </w:r>
      <w:r w:rsidR="004E2728">
        <w:rPr>
          <w:lang w:val="en-US"/>
        </w:rPr>
        <w:t>[6]</w:t>
      </w:r>
      <w:r>
        <w:rPr>
          <w:lang w:val="en-US"/>
        </w:rPr>
        <w:fldChar w:fldCharType="end"/>
      </w:r>
      <w:r>
        <w:rPr>
          <w:lang w:val="en-US"/>
        </w:rPr>
        <w:t xml:space="preserve">, however our CR in </w:t>
      </w:r>
      <w:r>
        <w:rPr>
          <w:lang w:val="en-US"/>
        </w:rPr>
        <w:fldChar w:fldCharType="begin"/>
      </w:r>
      <w:r>
        <w:rPr>
          <w:lang w:val="en-US"/>
        </w:rPr>
        <w:instrText xml:space="preserve"> REF _Ref462843071 \r \h </w:instrText>
      </w:r>
      <w:r>
        <w:rPr>
          <w:lang w:val="en-US"/>
        </w:rPr>
      </w:r>
      <w:r>
        <w:rPr>
          <w:lang w:val="en-US"/>
        </w:rPr>
        <w:fldChar w:fldCharType="separate"/>
      </w:r>
      <w:r w:rsidR="004E2728">
        <w:rPr>
          <w:lang w:val="en-US"/>
        </w:rPr>
        <w:t>[7]</w:t>
      </w:r>
      <w:r>
        <w:rPr>
          <w:lang w:val="en-US"/>
        </w:rPr>
        <w:fldChar w:fldCharType="end"/>
      </w:r>
      <w:r>
        <w:rPr>
          <w:lang w:val="en-US"/>
        </w:rPr>
        <w:t xml:space="preserve"> was not agreed. We still believe it is important to clarify this aspect and eventually aligned BS and UE channel raster.</w:t>
      </w:r>
    </w:p>
    <w:p w14:paraId="332748CF" w14:textId="05F61CA9" w:rsidR="00AD2536" w:rsidRPr="00AD2536" w:rsidRDefault="00AD2536" w:rsidP="00AD2536">
      <w:pPr>
        <w:jc w:val="both"/>
        <w:rPr>
          <w:b/>
          <w:i/>
          <w:lang w:val="en-US"/>
        </w:rPr>
      </w:pPr>
      <w:r w:rsidRPr="00AD2536">
        <w:rPr>
          <w:b/>
          <w:i/>
          <w:lang w:val="en-US"/>
        </w:rPr>
        <w:t xml:space="preserve">Observation </w:t>
      </w:r>
      <w:r>
        <w:rPr>
          <w:b/>
          <w:i/>
          <w:lang w:val="en-US"/>
        </w:rPr>
        <w:t>2</w:t>
      </w:r>
      <w:r w:rsidRPr="00AD2536">
        <w:rPr>
          <w:b/>
          <w:i/>
          <w:lang w:val="en-US"/>
        </w:rPr>
        <w:t xml:space="preserve">: RAN4 should clarify </w:t>
      </w:r>
      <w:r>
        <w:rPr>
          <w:b/>
          <w:i/>
          <w:lang w:val="en-US"/>
        </w:rPr>
        <w:t xml:space="preserve">whether aligning BS and UE </w:t>
      </w:r>
      <w:r w:rsidR="002D74A8">
        <w:rPr>
          <w:b/>
          <w:i/>
          <w:lang w:val="en-US"/>
        </w:rPr>
        <w:t xml:space="preserve">band 46 </w:t>
      </w:r>
      <w:r>
        <w:rPr>
          <w:b/>
          <w:i/>
          <w:lang w:val="en-US"/>
        </w:rPr>
        <w:t xml:space="preserve">channel raster is needed to handle </w:t>
      </w:r>
      <w:r w:rsidR="002D74A8">
        <w:rPr>
          <w:b/>
          <w:i/>
          <w:lang w:val="en-US"/>
        </w:rPr>
        <w:t xml:space="preserve">harmonics hitting </w:t>
      </w:r>
      <w:r>
        <w:rPr>
          <w:b/>
          <w:i/>
          <w:lang w:val="en-US"/>
        </w:rPr>
        <w:t xml:space="preserve">10MHz </w:t>
      </w:r>
      <w:r w:rsidR="002D74A8">
        <w:rPr>
          <w:b/>
          <w:i/>
          <w:lang w:val="en-US"/>
        </w:rPr>
        <w:t>channels</w:t>
      </w:r>
      <w:r w:rsidRPr="00AD2536">
        <w:rPr>
          <w:b/>
          <w:i/>
          <w:lang w:val="en-US"/>
        </w:rPr>
        <w:t xml:space="preserve">. </w:t>
      </w:r>
    </w:p>
    <w:p w14:paraId="51F1C9CC" w14:textId="6C67A990" w:rsidR="003632C9" w:rsidRDefault="002D74A8" w:rsidP="003632C9">
      <w:pPr>
        <w:jc w:val="both"/>
        <w:rPr>
          <w:lang w:val="en-US"/>
        </w:rPr>
      </w:pPr>
      <w:r>
        <w:rPr>
          <w:lang w:val="en-US"/>
        </w:rPr>
        <w:t xml:space="preserve">It is indeed worth noting that </w:t>
      </w:r>
      <w:r w:rsidR="00923CD2">
        <w:rPr>
          <w:lang w:val="en-US"/>
        </w:rPr>
        <w:t xml:space="preserve">depending on whether only the channels agreed in </w:t>
      </w:r>
      <w:r w:rsidR="00923CD2">
        <w:rPr>
          <w:lang w:val="en-US"/>
        </w:rPr>
        <w:fldChar w:fldCharType="begin"/>
      </w:r>
      <w:r w:rsidR="00923CD2">
        <w:rPr>
          <w:lang w:val="en-US"/>
        </w:rPr>
        <w:instrText xml:space="preserve"> REF _Ref462848121 \r \h </w:instrText>
      </w:r>
      <w:r w:rsidR="00923CD2">
        <w:rPr>
          <w:lang w:val="en-US"/>
        </w:rPr>
      </w:r>
      <w:r w:rsidR="00923CD2">
        <w:rPr>
          <w:lang w:val="en-US"/>
        </w:rPr>
        <w:fldChar w:fldCharType="separate"/>
      </w:r>
      <w:r w:rsidR="004E2728">
        <w:rPr>
          <w:lang w:val="en-US"/>
        </w:rPr>
        <w:t>[5]</w:t>
      </w:r>
      <w:r w:rsidR="00923CD2">
        <w:rPr>
          <w:lang w:val="en-US"/>
        </w:rPr>
        <w:fldChar w:fldCharType="end"/>
      </w:r>
      <w:r w:rsidR="00923CD2">
        <w:rPr>
          <w:lang w:val="en-US"/>
        </w:rPr>
        <w:t xml:space="preserve"> needs to be taken into account or not, the number of harmonic cases to be taken into account will be lower</w:t>
      </w:r>
      <w:r w:rsidR="00EA0B47">
        <w:rPr>
          <w:lang w:val="en-US"/>
        </w:rPr>
        <w:t xml:space="preserve">, as listed </w:t>
      </w:r>
      <w:r w:rsidR="00EA0B47">
        <w:rPr>
          <w:lang w:val="en-US"/>
        </w:rPr>
        <w:fldChar w:fldCharType="begin"/>
      </w:r>
      <w:r w:rsidR="00EA0B47">
        <w:rPr>
          <w:lang w:val="en-US"/>
        </w:rPr>
        <w:instrText xml:space="preserve"> REF _Ref462848547 \h </w:instrText>
      </w:r>
      <w:r w:rsidR="00EA0B47">
        <w:rPr>
          <w:lang w:val="en-US"/>
        </w:rPr>
      </w:r>
      <w:r w:rsidR="00EA0B47">
        <w:rPr>
          <w:lang w:val="en-US"/>
        </w:rPr>
        <w:fldChar w:fldCharType="separate"/>
      </w:r>
      <w:r w:rsidR="004E2728">
        <w:t xml:space="preserve">Table </w:t>
      </w:r>
      <w:r w:rsidR="004E2728">
        <w:rPr>
          <w:noProof/>
        </w:rPr>
        <w:t>1</w:t>
      </w:r>
      <w:r w:rsidR="00EA0B47">
        <w:rPr>
          <w:lang w:val="en-US"/>
        </w:rPr>
        <w:fldChar w:fldCharType="end"/>
      </w:r>
      <w:r w:rsidR="00923CD2">
        <w:rPr>
          <w:lang w:val="en-US"/>
        </w:rPr>
        <w:t xml:space="preserve">. </w:t>
      </w:r>
    </w:p>
    <w:p w14:paraId="1085CCD6" w14:textId="736498DD" w:rsidR="00923CD2" w:rsidRDefault="00923CD2" w:rsidP="00EA0B47">
      <w:pPr>
        <w:pStyle w:val="Caption"/>
        <w:keepNext/>
        <w:jc w:val="center"/>
      </w:pPr>
      <w:bookmarkStart w:id="0" w:name="_Ref462848547"/>
      <w:r>
        <w:t xml:space="preserve">Table </w:t>
      </w:r>
      <w:r>
        <w:fldChar w:fldCharType="begin"/>
      </w:r>
      <w:r>
        <w:instrText xml:space="preserve"> SEQ Table \* ARABIC </w:instrText>
      </w:r>
      <w:r>
        <w:fldChar w:fldCharType="separate"/>
      </w:r>
      <w:r w:rsidR="004E2728">
        <w:rPr>
          <w:noProof/>
        </w:rPr>
        <w:t>1</w:t>
      </w:r>
      <w:r>
        <w:fldChar w:fldCharType="end"/>
      </w:r>
      <w:bookmarkEnd w:id="0"/>
      <w:r>
        <w:t xml:space="preserve">. </w:t>
      </w:r>
      <w:r w:rsidR="00EA0B47">
        <w:t>List of harmonic hit cases for different 10MHz channels configurations.</w:t>
      </w:r>
    </w:p>
    <w:tbl>
      <w:tblPr>
        <w:tblW w:w="9990" w:type="dxa"/>
        <w:jc w:val="center"/>
        <w:tblLayout w:type="fixed"/>
        <w:tblLook w:val="04A0" w:firstRow="1" w:lastRow="0" w:firstColumn="1" w:lastColumn="0" w:noHBand="0" w:noVBand="1"/>
      </w:tblPr>
      <w:tblGrid>
        <w:gridCol w:w="854"/>
        <w:gridCol w:w="856"/>
        <w:gridCol w:w="900"/>
        <w:gridCol w:w="1170"/>
        <w:gridCol w:w="900"/>
        <w:gridCol w:w="900"/>
        <w:gridCol w:w="990"/>
        <w:gridCol w:w="1710"/>
        <w:gridCol w:w="1710"/>
      </w:tblGrid>
      <w:tr w:rsidR="00923CD2" w:rsidRPr="00923CD2" w14:paraId="20CB3031" w14:textId="77777777" w:rsidTr="00E35D7F">
        <w:trPr>
          <w:trHeight w:val="255"/>
          <w:jc w:val="center"/>
        </w:trPr>
        <w:tc>
          <w:tcPr>
            <w:tcW w:w="854" w:type="dxa"/>
            <w:tcBorders>
              <w:top w:val="nil"/>
              <w:left w:val="nil"/>
              <w:bottom w:val="nil"/>
              <w:right w:val="nil"/>
            </w:tcBorders>
            <w:shd w:val="clear" w:color="auto" w:fill="auto"/>
            <w:vAlign w:val="bottom"/>
            <w:hideMark/>
          </w:tcPr>
          <w:p w14:paraId="1C9806C8" w14:textId="77777777" w:rsidR="00923CD2" w:rsidRPr="00923CD2" w:rsidRDefault="00923CD2" w:rsidP="00923CD2">
            <w:pPr>
              <w:spacing w:after="0"/>
              <w:rPr>
                <w:sz w:val="24"/>
                <w:szCs w:val="24"/>
                <w:lang w:val="en-US"/>
              </w:rPr>
            </w:pPr>
          </w:p>
        </w:tc>
        <w:tc>
          <w:tcPr>
            <w:tcW w:w="856" w:type="dxa"/>
            <w:tcBorders>
              <w:top w:val="nil"/>
              <w:left w:val="nil"/>
              <w:bottom w:val="nil"/>
              <w:right w:val="nil"/>
            </w:tcBorders>
            <w:shd w:val="clear" w:color="auto" w:fill="auto"/>
            <w:vAlign w:val="bottom"/>
            <w:hideMark/>
          </w:tcPr>
          <w:p w14:paraId="0F48F3E9" w14:textId="77777777" w:rsidR="00923CD2" w:rsidRPr="00923CD2" w:rsidRDefault="00923CD2" w:rsidP="00923CD2">
            <w:pPr>
              <w:spacing w:after="0"/>
              <w:rPr>
                <w:lang w:val="en-US"/>
              </w:rPr>
            </w:pPr>
          </w:p>
        </w:tc>
        <w:tc>
          <w:tcPr>
            <w:tcW w:w="900" w:type="dxa"/>
            <w:tcBorders>
              <w:top w:val="nil"/>
              <w:left w:val="nil"/>
              <w:bottom w:val="nil"/>
              <w:right w:val="nil"/>
            </w:tcBorders>
            <w:shd w:val="clear" w:color="auto" w:fill="auto"/>
            <w:vAlign w:val="bottom"/>
            <w:hideMark/>
          </w:tcPr>
          <w:p w14:paraId="7CC1EF88" w14:textId="77777777" w:rsidR="00923CD2" w:rsidRPr="00923CD2" w:rsidRDefault="00923CD2" w:rsidP="00923CD2">
            <w:pPr>
              <w:spacing w:after="0"/>
              <w:rPr>
                <w:lang w:val="en-US"/>
              </w:rPr>
            </w:pPr>
          </w:p>
        </w:tc>
        <w:tc>
          <w:tcPr>
            <w:tcW w:w="1170" w:type="dxa"/>
            <w:tcBorders>
              <w:top w:val="nil"/>
              <w:left w:val="nil"/>
              <w:bottom w:val="nil"/>
              <w:right w:val="nil"/>
            </w:tcBorders>
            <w:shd w:val="clear" w:color="auto" w:fill="auto"/>
            <w:vAlign w:val="bottom"/>
            <w:hideMark/>
          </w:tcPr>
          <w:p w14:paraId="370F35F5" w14:textId="77777777" w:rsidR="00923CD2" w:rsidRPr="00923CD2" w:rsidRDefault="00923CD2" w:rsidP="00923CD2">
            <w:pPr>
              <w:spacing w:after="0"/>
              <w:rPr>
                <w:lang w:val="en-US"/>
              </w:rPr>
            </w:pPr>
          </w:p>
        </w:tc>
        <w:tc>
          <w:tcPr>
            <w:tcW w:w="1800" w:type="dxa"/>
            <w:gridSpan w:val="2"/>
            <w:tcBorders>
              <w:top w:val="single" w:sz="8" w:space="0" w:color="auto"/>
              <w:left w:val="single" w:sz="8" w:space="0" w:color="auto"/>
              <w:bottom w:val="nil"/>
              <w:right w:val="single" w:sz="8" w:space="0" w:color="000000"/>
            </w:tcBorders>
            <w:shd w:val="clear" w:color="auto" w:fill="auto"/>
            <w:vAlign w:val="bottom"/>
            <w:hideMark/>
          </w:tcPr>
          <w:p w14:paraId="5D95D417"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Harmonic Region</w:t>
            </w:r>
          </w:p>
        </w:tc>
        <w:tc>
          <w:tcPr>
            <w:tcW w:w="4410" w:type="dxa"/>
            <w:gridSpan w:val="3"/>
            <w:tcBorders>
              <w:top w:val="single" w:sz="8" w:space="0" w:color="auto"/>
              <w:left w:val="nil"/>
              <w:bottom w:val="nil"/>
              <w:right w:val="single" w:sz="8" w:space="0" w:color="000000"/>
            </w:tcBorders>
            <w:shd w:val="clear" w:color="auto" w:fill="auto"/>
            <w:vAlign w:val="bottom"/>
            <w:hideMark/>
          </w:tcPr>
          <w:p w14:paraId="57F65942"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Direct harmonic hit (YES/NO)</w:t>
            </w:r>
          </w:p>
        </w:tc>
      </w:tr>
      <w:tr w:rsidR="00923CD2" w:rsidRPr="00923CD2" w14:paraId="74E8F2DF" w14:textId="77777777" w:rsidTr="00E35D7F">
        <w:trPr>
          <w:trHeight w:val="747"/>
          <w:jc w:val="center"/>
        </w:trPr>
        <w:tc>
          <w:tcPr>
            <w:tcW w:w="854" w:type="dxa"/>
            <w:tcBorders>
              <w:top w:val="single" w:sz="8" w:space="0" w:color="auto"/>
              <w:left w:val="single" w:sz="8" w:space="0" w:color="auto"/>
              <w:bottom w:val="single" w:sz="8" w:space="0" w:color="auto"/>
              <w:right w:val="nil"/>
            </w:tcBorders>
            <w:shd w:val="clear" w:color="auto" w:fill="auto"/>
            <w:vAlign w:val="center"/>
            <w:hideMark/>
          </w:tcPr>
          <w:p w14:paraId="2E047AE7"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Tx Band</w:t>
            </w:r>
          </w:p>
        </w:tc>
        <w:tc>
          <w:tcPr>
            <w:tcW w:w="856"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CEBC51C"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Flow</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7BF5B12A"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Fhigh</w:t>
            </w:r>
          </w:p>
        </w:tc>
        <w:tc>
          <w:tcPr>
            <w:tcW w:w="1170" w:type="dxa"/>
            <w:tcBorders>
              <w:top w:val="single" w:sz="8" w:space="0" w:color="auto"/>
              <w:left w:val="nil"/>
              <w:bottom w:val="single" w:sz="8" w:space="0" w:color="auto"/>
              <w:right w:val="nil"/>
            </w:tcBorders>
            <w:shd w:val="clear" w:color="auto" w:fill="auto"/>
            <w:vAlign w:val="center"/>
            <w:hideMark/>
          </w:tcPr>
          <w:p w14:paraId="1B9A8AFA"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Harmonic Order</w:t>
            </w:r>
          </w:p>
        </w:tc>
        <w:tc>
          <w:tcPr>
            <w:tcW w:w="90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2D24FE5"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Flow</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294FCB13"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Fhigh</w:t>
            </w:r>
          </w:p>
        </w:tc>
        <w:tc>
          <w:tcPr>
            <w:tcW w:w="990" w:type="dxa"/>
            <w:tcBorders>
              <w:top w:val="single" w:sz="8" w:space="0" w:color="auto"/>
              <w:left w:val="nil"/>
              <w:bottom w:val="single" w:sz="8" w:space="0" w:color="auto"/>
              <w:right w:val="single" w:sz="4" w:space="0" w:color="auto"/>
            </w:tcBorders>
            <w:shd w:val="clear" w:color="auto" w:fill="auto"/>
            <w:vAlign w:val="center"/>
            <w:hideMark/>
          </w:tcPr>
          <w:p w14:paraId="752E6B4B" w14:textId="1257856D"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 xml:space="preserve">to </w:t>
            </w:r>
            <w:r>
              <w:rPr>
                <w:rFonts w:ascii="Calibri" w:hAnsi="Calibri"/>
                <w:b/>
                <w:bCs/>
                <w:color w:val="000000"/>
                <w:sz w:val="22"/>
                <w:szCs w:val="22"/>
                <w:lang w:val="en-US"/>
              </w:rPr>
              <w:br/>
            </w:r>
            <w:r w:rsidRPr="00923CD2">
              <w:rPr>
                <w:rFonts w:ascii="Calibri" w:hAnsi="Calibri"/>
                <w:b/>
                <w:bCs/>
                <w:color w:val="000000"/>
                <w:sz w:val="22"/>
                <w:szCs w:val="22"/>
                <w:lang w:val="en-US"/>
              </w:rPr>
              <w:t>Band 46</w:t>
            </w:r>
          </w:p>
        </w:tc>
        <w:tc>
          <w:tcPr>
            <w:tcW w:w="1710" w:type="dxa"/>
            <w:tcBorders>
              <w:top w:val="single" w:sz="8" w:space="0" w:color="auto"/>
              <w:left w:val="nil"/>
              <w:bottom w:val="single" w:sz="8" w:space="0" w:color="auto"/>
              <w:right w:val="single" w:sz="4" w:space="0" w:color="auto"/>
            </w:tcBorders>
            <w:shd w:val="clear" w:color="auto" w:fill="auto"/>
            <w:vAlign w:val="center"/>
            <w:hideMark/>
          </w:tcPr>
          <w:p w14:paraId="10D722D2"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to 10MHz channel in 5730</w:t>
            </w:r>
          </w:p>
        </w:tc>
        <w:tc>
          <w:tcPr>
            <w:tcW w:w="1710" w:type="dxa"/>
            <w:tcBorders>
              <w:top w:val="single" w:sz="8" w:space="0" w:color="auto"/>
              <w:left w:val="nil"/>
              <w:bottom w:val="single" w:sz="8" w:space="0" w:color="auto"/>
              <w:right w:val="single" w:sz="8" w:space="0" w:color="auto"/>
            </w:tcBorders>
            <w:shd w:val="clear" w:color="auto" w:fill="auto"/>
            <w:vAlign w:val="center"/>
            <w:hideMark/>
          </w:tcPr>
          <w:p w14:paraId="285F8E75" w14:textId="77777777" w:rsidR="00923CD2" w:rsidRPr="00923CD2" w:rsidRDefault="00923CD2" w:rsidP="00923CD2">
            <w:pPr>
              <w:spacing w:after="0"/>
              <w:jc w:val="center"/>
              <w:rPr>
                <w:rFonts w:ascii="Calibri" w:hAnsi="Calibri"/>
                <w:b/>
                <w:bCs/>
                <w:color w:val="000000"/>
                <w:sz w:val="22"/>
                <w:szCs w:val="22"/>
                <w:lang w:val="en-US"/>
              </w:rPr>
            </w:pPr>
            <w:r w:rsidRPr="00923CD2">
              <w:rPr>
                <w:rFonts w:ascii="Calibri" w:hAnsi="Calibri"/>
                <w:b/>
                <w:bCs/>
                <w:color w:val="000000"/>
                <w:sz w:val="22"/>
                <w:szCs w:val="22"/>
                <w:lang w:val="en-US"/>
              </w:rPr>
              <w:t>to 10MHz channel in 5830</w:t>
            </w:r>
          </w:p>
        </w:tc>
      </w:tr>
      <w:tr w:rsidR="00923CD2" w:rsidRPr="00923CD2" w14:paraId="1F4F3493" w14:textId="77777777" w:rsidTr="00E35D7F">
        <w:trPr>
          <w:trHeight w:val="255"/>
          <w:jc w:val="center"/>
        </w:trPr>
        <w:tc>
          <w:tcPr>
            <w:tcW w:w="854" w:type="dxa"/>
            <w:tcBorders>
              <w:top w:val="nil"/>
              <w:left w:val="single" w:sz="8" w:space="0" w:color="auto"/>
              <w:bottom w:val="nil"/>
              <w:right w:val="nil"/>
            </w:tcBorders>
            <w:shd w:val="clear" w:color="auto" w:fill="auto"/>
            <w:vAlign w:val="bottom"/>
            <w:hideMark/>
          </w:tcPr>
          <w:p w14:paraId="27BA431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w:t>
            </w:r>
          </w:p>
        </w:tc>
        <w:tc>
          <w:tcPr>
            <w:tcW w:w="856" w:type="dxa"/>
            <w:tcBorders>
              <w:top w:val="nil"/>
              <w:left w:val="single" w:sz="8" w:space="0" w:color="auto"/>
              <w:bottom w:val="nil"/>
              <w:right w:val="single" w:sz="4" w:space="0" w:color="auto"/>
            </w:tcBorders>
            <w:shd w:val="clear" w:color="auto" w:fill="auto"/>
            <w:vAlign w:val="bottom"/>
            <w:hideMark/>
          </w:tcPr>
          <w:p w14:paraId="2FAC500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1920</w:t>
            </w:r>
          </w:p>
        </w:tc>
        <w:tc>
          <w:tcPr>
            <w:tcW w:w="900" w:type="dxa"/>
            <w:tcBorders>
              <w:top w:val="nil"/>
              <w:left w:val="nil"/>
              <w:bottom w:val="nil"/>
              <w:right w:val="single" w:sz="8" w:space="0" w:color="auto"/>
            </w:tcBorders>
            <w:shd w:val="clear" w:color="auto" w:fill="auto"/>
            <w:vAlign w:val="bottom"/>
            <w:hideMark/>
          </w:tcPr>
          <w:p w14:paraId="0086D66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1980</w:t>
            </w:r>
          </w:p>
        </w:tc>
        <w:tc>
          <w:tcPr>
            <w:tcW w:w="1170" w:type="dxa"/>
            <w:tcBorders>
              <w:top w:val="nil"/>
              <w:left w:val="nil"/>
              <w:bottom w:val="nil"/>
              <w:right w:val="nil"/>
            </w:tcBorders>
            <w:shd w:val="clear" w:color="auto" w:fill="auto"/>
            <w:vAlign w:val="bottom"/>
            <w:hideMark/>
          </w:tcPr>
          <w:p w14:paraId="4FDB767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900" w:type="dxa"/>
            <w:tcBorders>
              <w:top w:val="nil"/>
              <w:left w:val="single" w:sz="8" w:space="0" w:color="auto"/>
              <w:bottom w:val="nil"/>
              <w:right w:val="single" w:sz="4" w:space="0" w:color="auto"/>
            </w:tcBorders>
            <w:shd w:val="clear" w:color="auto" w:fill="auto"/>
            <w:vAlign w:val="bottom"/>
            <w:hideMark/>
          </w:tcPr>
          <w:p w14:paraId="315DBA82"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5760</w:t>
            </w:r>
          </w:p>
        </w:tc>
        <w:tc>
          <w:tcPr>
            <w:tcW w:w="900" w:type="dxa"/>
            <w:tcBorders>
              <w:top w:val="nil"/>
              <w:left w:val="nil"/>
              <w:bottom w:val="nil"/>
              <w:right w:val="single" w:sz="8" w:space="0" w:color="auto"/>
            </w:tcBorders>
            <w:shd w:val="clear" w:color="auto" w:fill="auto"/>
            <w:vAlign w:val="bottom"/>
            <w:hideMark/>
          </w:tcPr>
          <w:p w14:paraId="73C8E06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5940</w:t>
            </w:r>
          </w:p>
        </w:tc>
        <w:tc>
          <w:tcPr>
            <w:tcW w:w="990" w:type="dxa"/>
            <w:tcBorders>
              <w:top w:val="nil"/>
              <w:left w:val="single" w:sz="8" w:space="0" w:color="auto"/>
              <w:bottom w:val="nil"/>
              <w:right w:val="single" w:sz="4" w:space="0" w:color="auto"/>
            </w:tcBorders>
            <w:shd w:val="clear" w:color="000000" w:fill="FFC000"/>
            <w:vAlign w:val="bottom"/>
            <w:hideMark/>
          </w:tcPr>
          <w:p w14:paraId="7C55745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755DB60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000000" w:fill="FFC000"/>
            <w:vAlign w:val="bottom"/>
            <w:hideMark/>
          </w:tcPr>
          <w:p w14:paraId="271D04D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r>
      <w:tr w:rsidR="00923CD2" w:rsidRPr="00923CD2" w14:paraId="6F6557AF" w14:textId="77777777" w:rsidTr="00E35D7F">
        <w:trPr>
          <w:trHeight w:val="255"/>
          <w:jc w:val="center"/>
        </w:trPr>
        <w:tc>
          <w:tcPr>
            <w:tcW w:w="854" w:type="dxa"/>
            <w:tcBorders>
              <w:top w:val="nil"/>
              <w:left w:val="single" w:sz="8" w:space="0" w:color="auto"/>
              <w:bottom w:val="nil"/>
              <w:right w:val="nil"/>
            </w:tcBorders>
            <w:shd w:val="clear" w:color="auto" w:fill="auto"/>
            <w:vAlign w:val="bottom"/>
            <w:hideMark/>
          </w:tcPr>
          <w:p w14:paraId="3CA0B30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w:t>
            </w:r>
          </w:p>
        </w:tc>
        <w:tc>
          <w:tcPr>
            <w:tcW w:w="856" w:type="dxa"/>
            <w:tcBorders>
              <w:top w:val="nil"/>
              <w:left w:val="single" w:sz="8" w:space="0" w:color="auto"/>
              <w:bottom w:val="nil"/>
              <w:right w:val="single" w:sz="4" w:space="0" w:color="auto"/>
            </w:tcBorders>
            <w:shd w:val="clear" w:color="auto" w:fill="auto"/>
            <w:vAlign w:val="bottom"/>
            <w:hideMark/>
          </w:tcPr>
          <w:p w14:paraId="7C012C9E"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1850</w:t>
            </w:r>
          </w:p>
        </w:tc>
        <w:tc>
          <w:tcPr>
            <w:tcW w:w="900" w:type="dxa"/>
            <w:tcBorders>
              <w:top w:val="nil"/>
              <w:left w:val="nil"/>
              <w:bottom w:val="nil"/>
              <w:right w:val="single" w:sz="8" w:space="0" w:color="auto"/>
            </w:tcBorders>
            <w:shd w:val="clear" w:color="auto" w:fill="auto"/>
            <w:vAlign w:val="bottom"/>
            <w:hideMark/>
          </w:tcPr>
          <w:p w14:paraId="5419AD1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1910</w:t>
            </w:r>
          </w:p>
        </w:tc>
        <w:tc>
          <w:tcPr>
            <w:tcW w:w="1170" w:type="dxa"/>
            <w:tcBorders>
              <w:top w:val="nil"/>
              <w:left w:val="nil"/>
              <w:bottom w:val="nil"/>
              <w:right w:val="nil"/>
            </w:tcBorders>
            <w:shd w:val="clear" w:color="auto" w:fill="auto"/>
            <w:vAlign w:val="bottom"/>
            <w:hideMark/>
          </w:tcPr>
          <w:p w14:paraId="781364B0"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900" w:type="dxa"/>
            <w:tcBorders>
              <w:top w:val="nil"/>
              <w:left w:val="single" w:sz="8" w:space="0" w:color="auto"/>
              <w:bottom w:val="nil"/>
              <w:right w:val="single" w:sz="4" w:space="0" w:color="auto"/>
            </w:tcBorders>
            <w:shd w:val="clear" w:color="auto" w:fill="auto"/>
            <w:vAlign w:val="bottom"/>
            <w:hideMark/>
          </w:tcPr>
          <w:p w14:paraId="1B0A996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5550</w:t>
            </w:r>
          </w:p>
        </w:tc>
        <w:tc>
          <w:tcPr>
            <w:tcW w:w="900" w:type="dxa"/>
            <w:tcBorders>
              <w:top w:val="nil"/>
              <w:left w:val="nil"/>
              <w:bottom w:val="nil"/>
              <w:right w:val="single" w:sz="8" w:space="0" w:color="auto"/>
            </w:tcBorders>
            <w:shd w:val="clear" w:color="auto" w:fill="auto"/>
            <w:vAlign w:val="bottom"/>
            <w:hideMark/>
          </w:tcPr>
          <w:p w14:paraId="00AB691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5730</w:t>
            </w:r>
          </w:p>
        </w:tc>
        <w:tc>
          <w:tcPr>
            <w:tcW w:w="990" w:type="dxa"/>
            <w:tcBorders>
              <w:top w:val="nil"/>
              <w:left w:val="single" w:sz="8" w:space="0" w:color="auto"/>
              <w:bottom w:val="nil"/>
              <w:right w:val="single" w:sz="4" w:space="0" w:color="auto"/>
            </w:tcBorders>
            <w:shd w:val="clear" w:color="000000" w:fill="FFC000"/>
            <w:vAlign w:val="bottom"/>
            <w:hideMark/>
          </w:tcPr>
          <w:p w14:paraId="4AEAA5E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single" w:sz="4" w:space="0" w:color="auto"/>
              <w:bottom w:val="nil"/>
              <w:right w:val="single" w:sz="4" w:space="0" w:color="auto"/>
            </w:tcBorders>
            <w:shd w:val="clear" w:color="000000" w:fill="FFC000"/>
            <w:vAlign w:val="bottom"/>
            <w:hideMark/>
          </w:tcPr>
          <w:p w14:paraId="26EBDBB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8" w:space="0" w:color="auto"/>
            </w:tcBorders>
            <w:shd w:val="clear" w:color="auto" w:fill="auto"/>
            <w:vAlign w:val="bottom"/>
            <w:hideMark/>
          </w:tcPr>
          <w:p w14:paraId="4158313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2A7E9E2D" w14:textId="77777777" w:rsidTr="00E35D7F">
        <w:trPr>
          <w:trHeight w:val="255"/>
          <w:jc w:val="center"/>
        </w:trPr>
        <w:tc>
          <w:tcPr>
            <w:tcW w:w="854" w:type="dxa"/>
            <w:tcBorders>
              <w:top w:val="nil"/>
              <w:left w:val="single" w:sz="8" w:space="0" w:color="auto"/>
              <w:bottom w:val="nil"/>
              <w:right w:val="nil"/>
            </w:tcBorders>
            <w:shd w:val="clear" w:color="auto" w:fill="auto"/>
            <w:vAlign w:val="bottom"/>
            <w:hideMark/>
          </w:tcPr>
          <w:p w14:paraId="1DE1B7B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856" w:type="dxa"/>
            <w:tcBorders>
              <w:top w:val="nil"/>
              <w:left w:val="single" w:sz="8" w:space="0" w:color="auto"/>
              <w:bottom w:val="nil"/>
              <w:right w:val="single" w:sz="4" w:space="0" w:color="auto"/>
            </w:tcBorders>
            <w:shd w:val="clear" w:color="auto" w:fill="auto"/>
            <w:vAlign w:val="bottom"/>
            <w:hideMark/>
          </w:tcPr>
          <w:p w14:paraId="77515A3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1710</w:t>
            </w:r>
          </w:p>
        </w:tc>
        <w:tc>
          <w:tcPr>
            <w:tcW w:w="900" w:type="dxa"/>
            <w:tcBorders>
              <w:top w:val="nil"/>
              <w:left w:val="nil"/>
              <w:bottom w:val="nil"/>
              <w:right w:val="single" w:sz="8" w:space="0" w:color="auto"/>
            </w:tcBorders>
            <w:shd w:val="clear" w:color="auto" w:fill="auto"/>
            <w:vAlign w:val="bottom"/>
            <w:hideMark/>
          </w:tcPr>
          <w:p w14:paraId="06FEEA6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1785</w:t>
            </w:r>
          </w:p>
        </w:tc>
        <w:tc>
          <w:tcPr>
            <w:tcW w:w="1170" w:type="dxa"/>
            <w:tcBorders>
              <w:top w:val="nil"/>
              <w:left w:val="nil"/>
              <w:bottom w:val="nil"/>
              <w:right w:val="nil"/>
            </w:tcBorders>
            <w:shd w:val="clear" w:color="auto" w:fill="auto"/>
            <w:vAlign w:val="bottom"/>
            <w:hideMark/>
          </w:tcPr>
          <w:p w14:paraId="7C73B6D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900" w:type="dxa"/>
            <w:tcBorders>
              <w:top w:val="nil"/>
              <w:left w:val="single" w:sz="8" w:space="0" w:color="auto"/>
              <w:bottom w:val="nil"/>
              <w:right w:val="single" w:sz="4" w:space="0" w:color="auto"/>
            </w:tcBorders>
            <w:shd w:val="clear" w:color="auto" w:fill="auto"/>
            <w:vAlign w:val="bottom"/>
            <w:hideMark/>
          </w:tcPr>
          <w:p w14:paraId="7E3ABAE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5130</w:t>
            </w:r>
          </w:p>
        </w:tc>
        <w:tc>
          <w:tcPr>
            <w:tcW w:w="900" w:type="dxa"/>
            <w:tcBorders>
              <w:top w:val="nil"/>
              <w:left w:val="nil"/>
              <w:bottom w:val="nil"/>
              <w:right w:val="single" w:sz="8" w:space="0" w:color="auto"/>
            </w:tcBorders>
            <w:shd w:val="clear" w:color="auto" w:fill="auto"/>
            <w:vAlign w:val="bottom"/>
            <w:hideMark/>
          </w:tcPr>
          <w:p w14:paraId="2E2258D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5355</w:t>
            </w:r>
          </w:p>
        </w:tc>
        <w:tc>
          <w:tcPr>
            <w:tcW w:w="990" w:type="dxa"/>
            <w:tcBorders>
              <w:top w:val="nil"/>
              <w:left w:val="single" w:sz="8" w:space="0" w:color="auto"/>
              <w:bottom w:val="nil"/>
              <w:right w:val="single" w:sz="4" w:space="0" w:color="auto"/>
            </w:tcBorders>
            <w:shd w:val="clear" w:color="000000" w:fill="FFC000"/>
            <w:vAlign w:val="bottom"/>
            <w:hideMark/>
          </w:tcPr>
          <w:p w14:paraId="76B6E6E0"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61C4171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3AB7713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49FCF2EF" w14:textId="77777777" w:rsidTr="00E35D7F">
        <w:trPr>
          <w:trHeight w:val="255"/>
          <w:jc w:val="center"/>
        </w:trPr>
        <w:tc>
          <w:tcPr>
            <w:tcW w:w="854" w:type="dxa"/>
            <w:tcBorders>
              <w:top w:val="nil"/>
              <w:left w:val="single" w:sz="8" w:space="0" w:color="auto"/>
              <w:bottom w:val="nil"/>
              <w:right w:val="nil"/>
            </w:tcBorders>
            <w:shd w:val="clear" w:color="auto" w:fill="auto"/>
            <w:vAlign w:val="bottom"/>
            <w:hideMark/>
          </w:tcPr>
          <w:p w14:paraId="5686E65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4</w:t>
            </w:r>
          </w:p>
        </w:tc>
        <w:tc>
          <w:tcPr>
            <w:tcW w:w="856" w:type="dxa"/>
            <w:tcBorders>
              <w:top w:val="nil"/>
              <w:left w:val="single" w:sz="8" w:space="0" w:color="auto"/>
              <w:bottom w:val="nil"/>
              <w:right w:val="single" w:sz="4" w:space="0" w:color="auto"/>
            </w:tcBorders>
            <w:shd w:val="clear" w:color="auto" w:fill="auto"/>
            <w:vAlign w:val="bottom"/>
            <w:hideMark/>
          </w:tcPr>
          <w:p w14:paraId="1040323D"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1710</w:t>
            </w:r>
          </w:p>
        </w:tc>
        <w:tc>
          <w:tcPr>
            <w:tcW w:w="900" w:type="dxa"/>
            <w:tcBorders>
              <w:top w:val="nil"/>
              <w:left w:val="nil"/>
              <w:bottom w:val="nil"/>
              <w:right w:val="single" w:sz="8" w:space="0" w:color="auto"/>
            </w:tcBorders>
            <w:shd w:val="clear" w:color="auto" w:fill="auto"/>
            <w:vAlign w:val="bottom"/>
            <w:hideMark/>
          </w:tcPr>
          <w:p w14:paraId="09D4075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1755</w:t>
            </w:r>
          </w:p>
        </w:tc>
        <w:tc>
          <w:tcPr>
            <w:tcW w:w="1170" w:type="dxa"/>
            <w:tcBorders>
              <w:top w:val="nil"/>
              <w:left w:val="nil"/>
              <w:bottom w:val="nil"/>
              <w:right w:val="nil"/>
            </w:tcBorders>
            <w:shd w:val="clear" w:color="auto" w:fill="auto"/>
            <w:vAlign w:val="bottom"/>
            <w:hideMark/>
          </w:tcPr>
          <w:p w14:paraId="262A120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900" w:type="dxa"/>
            <w:tcBorders>
              <w:top w:val="nil"/>
              <w:left w:val="single" w:sz="8" w:space="0" w:color="auto"/>
              <w:bottom w:val="nil"/>
              <w:right w:val="single" w:sz="4" w:space="0" w:color="auto"/>
            </w:tcBorders>
            <w:shd w:val="clear" w:color="auto" w:fill="auto"/>
            <w:vAlign w:val="bottom"/>
            <w:hideMark/>
          </w:tcPr>
          <w:p w14:paraId="37039C8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5130</w:t>
            </w:r>
          </w:p>
        </w:tc>
        <w:tc>
          <w:tcPr>
            <w:tcW w:w="900" w:type="dxa"/>
            <w:tcBorders>
              <w:top w:val="nil"/>
              <w:left w:val="nil"/>
              <w:bottom w:val="nil"/>
              <w:right w:val="single" w:sz="8" w:space="0" w:color="auto"/>
            </w:tcBorders>
            <w:shd w:val="clear" w:color="auto" w:fill="auto"/>
            <w:vAlign w:val="bottom"/>
            <w:hideMark/>
          </w:tcPr>
          <w:p w14:paraId="20996B32"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5265</w:t>
            </w:r>
          </w:p>
        </w:tc>
        <w:tc>
          <w:tcPr>
            <w:tcW w:w="990" w:type="dxa"/>
            <w:tcBorders>
              <w:top w:val="nil"/>
              <w:left w:val="single" w:sz="8" w:space="0" w:color="auto"/>
              <w:bottom w:val="nil"/>
              <w:right w:val="single" w:sz="4" w:space="0" w:color="auto"/>
            </w:tcBorders>
            <w:shd w:val="clear" w:color="000000" w:fill="FFC000"/>
            <w:vAlign w:val="bottom"/>
            <w:hideMark/>
          </w:tcPr>
          <w:p w14:paraId="38B229D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25FB09C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2AB3ACE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115838BF" w14:textId="77777777" w:rsidTr="00E35D7F">
        <w:trPr>
          <w:trHeight w:val="255"/>
          <w:jc w:val="center"/>
        </w:trPr>
        <w:tc>
          <w:tcPr>
            <w:tcW w:w="854" w:type="dxa"/>
            <w:tcBorders>
              <w:top w:val="nil"/>
              <w:left w:val="single" w:sz="8" w:space="0" w:color="auto"/>
              <w:bottom w:val="nil"/>
              <w:right w:val="nil"/>
            </w:tcBorders>
            <w:shd w:val="clear" w:color="auto" w:fill="auto"/>
            <w:vAlign w:val="bottom"/>
            <w:hideMark/>
          </w:tcPr>
          <w:p w14:paraId="08008C9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w:t>
            </w:r>
          </w:p>
        </w:tc>
        <w:tc>
          <w:tcPr>
            <w:tcW w:w="856" w:type="dxa"/>
            <w:tcBorders>
              <w:top w:val="nil"/>
              <w:left w:val="single" w:sz="8" w:space="0" w:color="auto"/>
              <w:bottom w:val="nil"/>
              <w:right w:val="single" w:sz="4" w:space="0" w:color="auto"/>
            </w:tcBorders>
            <w:shd w:val="clear" w:color="auto" w:fill="auto"/>
            <w:vAlign w:val="bottom"/>
            <w:hideMark/>
          </w:tcPr>
          <w:p w14:paraId="181D9D6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824</w:t>
            </w:r>
          </w:p>
        </w:tc>
        <w:tc>
          <w:tcPr>
            <w:tcW w:w="900" w:type="dxa"/>
            <w:tcBorders>
              <w:top w:val="nil"/>
              <w:left w:val="nil"/>
              <w:bottom w:val="nil"/>
              <w:right w:val="single" w:sz="8" w:space="0" w:color="auto"/>
            </w:tcBorders>
            <w:shd w:val="clear" w:color="auto" w:fill="auto"/>
            <w:vAlign w:val="bottom"/>
            <w:hideMark/>
          </w:tcPr>
          <w:p w14:paraId="432C1C2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849</w:t>
            </w:r>
          </w:p>
        </w:tc>
        <w:tc>
          <w:tcPr>
            <w:tcW w:w="1170" w:type="dxa"/>
            <w:tcBorders>
              <w:top w:val="nil"/>
              <w:left w:val="nil"/>
              <w:bottom w:val="nil"/>
              <w:right w:val="nil"/>
            </w:tcBorders>
            <w:shd w:val="clear" w:color="auto" w:fill="auto"/>
            <w:vAlign w:val="bottom"/>
            <w:hideMark/>
          </w:tcPr>
          <w:p w14:paraId="0E411D0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w:t>
            </w:r>
          </w:p>
        </w:tc>
        <w:tc>
          <w:tcPr>
            <w:tcW w:w="900" w:type="dxa"/>
            <w:tcBorders>
              <w:top w:val="nil"/>
              <w:left w:val="single" w:sz="8" w:space="0" w:color="auto"/>
              <w:bottom w:val="nil"/>
              <w:right w:val="single" w:sz="4" w:space="0" w:color="auto"/>
            </w:tcBorders>
            <w:shd w:val="clear" w:color="auto" w:fill="auto"/>
            <w:vAlign w:val="bottom"/>
            <w:hideMark/>
          </w:tcPr>
          <w:p w14:paraId="730337A2"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5768</w:t>
            </w:r>
          </w:p>
        </w:tc>
        <w:tc>
          <w:tcPr>
            <w:tcW w:w="900" w:type="dxa"/>
            <w:tcBorders>
              <w:top w:val="nil"/>
              <w:left w:val="nil"/>
              <w:bottom w:val="nil"/>
              <w:right w:val="single" w:sz="8" w:space="0" w:color="auto"/>
            </w:tcBorders>
            <w:shd w:val="clear" w:color="auto" w:fill="auto"/>
            <w:vAlign w:val="bottom"/>
            <w:hideMark/>
          </w:tcPr>
          <w:p w14:paraId="5D7A347E"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5943</w:t>
            </w:r>
          </w:p>
        </w:tc>
        <w:tc>
          <w:tcPr>
            <w:tcW w:w="990" w:type="dxa"/>
            <w:tcBorders>
              <w:top w:val="nil"/>
              <w:left w:val="single" w:sz="8" w:space="0" w:color="auto"/>
              <w:bottom w:val="nil"/>
              <w:right w:val="single" w:sz="4" w:space="0" w:color="auto"/>
            </w:tcBorders>
            <w:shd w:val="clear" w:color="000000" w:fill="FFC000"/>
            <w:vAlign w:val="bottom"/>
            <w:hideMark/>
          </w:tcPr>
          <w:p w14:paraId="343C9C5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1445A16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000000" w:fill="FFC000"/>
            <w:vAlign w:val="bottom"/>
            <w:hideMark/>
          </w:tcPr>
          <w:p w14:paraId="4E4D94F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r>
      <w:tr w:rsidR="00923CD2" w:rsidRPr="00923CD2" w14:paraId="572DD462" w14:textId="77777777" w:rsidTr="00E35D7F">
        <w:trPr>
          <w:trHeight w:val="255"/>
          <w:jc w:val="center"/>
        </w:trPr>
        <w:tc>
          <w:tcPr>
            <w:tcW w:w="854" w:type="dxa"/>
            <w:tcBorders>
              <w:top w:val="nil"/>
              <w:left w:val="single" w:sz="8" w:space="0" w:color="auto"/>
              <w:bottom w:val="nil"/>
              <w:right w:val="nil"/>
            </w:tcBorders>
            <w:shd w:val="clear" w:color="auto" w:fill="auto"/>
            <w:vAlign w:val="bottom"/>
            <w:hideMark/>
          </w:tcPr>
          <w:p w14:paraId="0085C4A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w:t>
            </w:r>
          </w:p>
        </w:tc>
        <w:tc>
          <w:tcPr>
            <w:tcW w:w="856" w:type="dxa"/>
            <w:tcBorders>
              <w:top w:val="nil"/>
              <w:left w:val="single" w:sz="8" w:space="0" w:color="auto"/>
              <w:bottom w:val="nil"/>
              <w:right w:val="single" w:sz="4" w:space="0" w:color="auto"/>
            </w:tcBorders>
            <w:shd w:val="clear" w:color="auto" w:fill="auto"/>
            <w:vAlign w:val="bottom"/>
            <w:hideMark/>
          </w:tcPr>
          <w:p w14:paraId="26D5857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2500</w:t>
            </w:r>
          </w:p>
        </w:tc>
        <w:tc>
          <w:tcPr>
            <w:tcW w:w="900" w:type="dxa"/>
            <w:tcBorders>
              <w:top w:val="nil"/>
              <w:left w:val="nil"/>
              <w:bottom w:val="nil"/>
              <w:right w:val="single" w:sz="8" w:space="0" w:color="auto"/>
            </w:tcBorders>
            <w:shd w:val="clear" w:color="auto" w:fill="auto"/>
            <w:vAlign w:val="bottom"/>
            <w:hideMark/>
          </w:tcPr>
          <w:p w14:paraId="686E27C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2570</w:t>
            </w:r>
          </w:p>
        </w:tc>
        <w:tc>
          <w:tcPr>
            <w:tcW w:w="1170" w:type="dxa"/>
            <w:tcBorders>
              <w:top w:val="nil"/>
              <w:left w:val="nil"/>
              <w:bottom w:val="nil"/>
              <w:right w:val="nil"/>
            </w:tcBorders>
            <w:shd w:val="clear" w:color="auto" w:fill="auto"/>
            <w:vAlign w:val="bottom"/>
            <w:hideMark/>
          </w:tcPr>
          <w:p w14:paraId="64F90B2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w:t>
            </w:r>
          </w:p>
        </w:tc>
        <w:tc>
          <w:tcPr>
            <w:tcW w:w="900" w:type="dxa"/>
            <w:tcBorders>
              <w:top w:val="nil"/>
              <w:left w:val="single" w:sz="8" w:space="0" w:color="auto"/>
              <w:bottom w:val="nil"/>
              <w:right w:val="single" w:sz="4" w:space="0" w:color="auto"/>
            </w:tcBorders>
            <w:shd w:val="clear" w:color="auto" w:fill="auto"/>
            <w:vAlign w:val="bottom"/>
            <w:hideMark/>
          </w:tcPr>
          <w:p w14:paraId="412E5B2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5000</w:t>
            </w:r>
          </w:p>
        </w:tc>
        <w:tc>
          <w:tcPr>
            <w:tcW w:w="900" w:type="dxa"/>
            <w:tcBorders>
              <w:top w:val="nil"/>
              <w:left w:val="nil"/>
              <w:bottom w:val="nil"/>
              <w:right w:val="single" w:sz="8" w:space="0" w:color="auto"/>
            </w:tcBorders>
            <w:shd w:val="clear" w:color="auto" w:fill="auto"/>
            <w:vAlign w:val="bottom"/>
            <w:hideMark/>
          </w:tcPr>
          <w:p w14:paraId="2A6C65B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5140</w:t>
            </w:r>
          </w:p>
        </w:tc>
        <w:tc>
          <w:tcPr>
            <w:tcW w:w="990" w:type="dxa"/>
            <w:tcBorders>
              <w:top w:val="nil"/>
              <w:left w:val="nil"/>
              <w:bottom w:val="nil"/>
              <w:right w:val="single" w:sz="4" w:space="0" w:color="auto"/>
            </w:tcBorders>
            <w:shd w:val="clear" w:color="auto" w:fill="auto"/>
            <w:vAlign w:val="bottom"/>
            <w:hideMark/>
          </w:tcPr>
          <w:p w14:paraId="1B865F2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4" w:space="0" w:color="auto"/>
            </w:tcBorders>
            <w:shd w:val="clear" w:color="auto" w:fill="auto"/>
            <w:vAlign w:val="bottom"/>
            <w:hideMark/>
          </w:tcPr>
          <w:p w14:paraId="0CFCBD20"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56F02E52"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3274570A" w14:textId="77777777" w:rsidTr="00E35D7F">
        <w:trPr>
          <w:trHeight w:val="255"/>
          <w:jc w:val="center"/>
        </w:trPr>
        <w:tc>
          <w:tcPr>
            <w:tcW w:w="854" w:type="dxa"/>
            <w:tcBorders>
              <w:top w:val="nil"/>
              <w:left w:val="single" w:sz="8" w:space="0" w:color="auto"/>
              <w:bottom w:val="nil"/>
              <w:right w:val="nil"/>
            </w:tcBorders>
            <w:shd w:val="clear" w:color="auto" w:fill="auto"/>
            <w:vAlign w:val="bottom"/>
            <w:hideMark/>
          </w:tcPr>
          <w:p w14:paraId="1439903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8</w:t>
            </w:r>
          </w:p>
        </w:tc>
        <w:tc>
          <w:tcPr>
            <w:tcW w:w="856" w:type="dxa"/>
            <w:tcBorders>
              <w:top w:val="nil"/>
              <w:left w:val="single" w:sz="8" w:space="0" w:color="auto"/>
              <w:bottom w:val="nil"/>
              <w:right w:val="single" w:sz="4" w:space="0" w:color="auto"/>
            </w:tcBorders>
            <w:shd w:val="clear" w:color="auto" w:fill="auto"/>
            <w:vAlign w:val="bottom"/>
            <w:hideMark/>
          </w:tcPr>
          <w:p w14:paraId="7F5E54E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880</w:t>
            </w:r>
          </w:p>
        </w:tc>
        <w:tc>
          <w:tcPr>
            <w:tcW w:w="900" w:type="dxa"/>
            <w:tcBorders>
              <w:top w:val="nil"/>
              <w:left w:val="nil"/>
              <w:bottom w:val="nil"/>
              <w:right w:val="single" w:sz="8" w:space="0" w:color="auto"/>
            </w:tcBorders>
            <w:shd w:val="clear" w:color="auto" w:fill="auto"/>
            <w:vAlign w:val="bottom"/>
            <w:hideMark/>
          </w:tcPr>
          <w:p w14:paraId="60ED558D"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915</w:t>
            </w:r>
          </w:p>
        </w:tc>
        <w:tc>
          <w:tcPr>
            <w:tcW w:w="1170" w:type="dxa"/>
            <w:tcBorders>
              <w:top w:val="nil"/>
              <w:left w:val="nil"/>
              <w:bottom w:val="nil"/>
              <w:right w:val="nil"/>
            </w:tcBorders>
            <w:shd w:val="clear" w:color="auto" w:fill="auto"/>
            <w:vAlign w:val="bottom"/>
            <w:hideMark/>
          </w:tcPr>
          <w:p w14:paraId="0BF7DE7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6</w:t>
            </w:r>
          </w:p>
        </w:tc>
        <w:tc>
          <w:tcPr>
            <w:tcW w:w="900" w:type="dxa"/>
            <w:tcBorders>
              <w:top w:val="nil"/>
              <w:left w:val="single" w:sz="8" w:space="0" w:color="auto"/>
              <w:bottom w:val="nil"/>
              <w:right w:val="single" w:sz="4" w:space="0" w:color="auto"/>
            </w:tcBorders>
            <w:shd w:val="clear" w:color="auto" w:fill="auto"/>
            <w:vAlign w:val="bottom"/>
            <w:hideMark/>
          </w:tcPr>
          <w:p w14:paraId="3F1E1F5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5280</w:t>
            </w:r>
          </w:p>
        </w:tc>
        <w:tc>
          <w:tcPr>
            <w:tcW w:w="900" w:type="dxa"/>
            <w:tcBorders>
              <w:top w:val="nil"/>
              <w:left w:val="nil"/>
              <w:bottom w:val="nil"/>
              <w:right w:val="single" w:sz="8" w:space="0" w:color="auto"/>
            </w:tcBorders>
            <w:shd w:val="clear" w:color="auto" w:fill="auto"/>
            <w:vAlign w:val="bottom"/>
            <w:hideMark/>
          </w:tcPr>
          <w:p w14:paraId="01A561F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5490</w:t>
            </w:r>
          </w:p>
        </w:tc>
        <w:tc>
          <w:tcPr>
            <w:tcW w:w="990" w:type="dxa"/>
            <w:tcBorders>
              <w:top w:val="nil"/>
              <w:left w:val="single" w:sz="8" w:space="0" w:color="auto"/>
              <w:bottom w:val="nil"/>
              <w:right w:val="single" w:sz="4" w:space="0" w:color="auto"/>
            </w:tcBorders>
            <w:shd w:val="clear" w:color="000000" w:fill="FFC000"/>
            <w:vAlign w:val="bottom"/>
            <w:hideMark/>
          </w:tcPr>
          <w:p w14:paraId="40AB0E6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7D54539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2716D84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5A981C78"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343BF16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11</w:t>
            </w:r>
          </w:p>
        </w:tc>
        <w:tc>
          <w:tcPr>
            <w:tcW w:w="856" w:type="dxa"/>
            <w:tcBorders>
              <w:top w:val="nil"/>
              <w:left w:val="single" w:sz="8" w:space="0" w:color="auto"/>
              <w:bottom w:val="nil"/>
              <w:right w:val="single" w:sz="4" w:space="0" w:color="auto"/>
            </w:tcBorders>
            <w:shd w:val="clear" w:color="auto" w:fill="auto"/>
            <w:vAlign w:val="bottom"/>
            <w:hideMark/>
          </w:tcPr>
          <w:p w14:paraId="7AA8BCEE"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1427.9</w:t>
            </w:r>
          </w:p>
        </w:tc>
        <w:tc>
          <w:tcPr>
            <w:tcW w:w="900" w:type="dxa"/>
            <w:tcBorders>
              <w:top w:val="nil"/>
              <w:left w:val="nil"/>
              <w:bottom w:val="nil"/>
              <w:right w:val="single" w:sz="8" w:space="0" w:color="auto"/>
            </w:tcBorders>
            <w:shd w:val="clear" w:color="auto" w:fill="auto"/>
            <w:vAlign w:val="bottom"/>
            <w:hideMark/>
          </w:tcPr>
          <w:p w14:paraId="3664DF5D"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1447.9</w:t>
            </w:r>
          </w:p>
        </w:tc>
        <w:tc>
          <w:tcPr>
            <w:tcW w:w="1170" w:type="dxa"/>
            <w:tcBorders>
              <w:top w:val="nil"/>
              <w:left w:val="nil"/>
              <w:bottom w:val="nil"/>
              <w:right w:val="nil"/>
            </w:tcBorders>
            <w:shd w:val="clear" w:color="auto" w:fill="auto"/>
            <w:vAlign w:val="bottom"/>
            <w:hideMark/>
          </w:tcPr>
          <w:p w14:paraId="56D9B1A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4</w:t>
            </w:r>
          </w:p>
        </w:tc>
        <w:tc>
          <w:tcPr>
            <w:tcW w:w="900" w:type="dxa"/>
            <w:tcBorders>
              <w:top w:val="nil"/>
              <w:left w:val="single" w:sz="8" w:space="0" w:color="auto"/>
              <w:bottom w:val="nil"/>
              <w:right w:val="single" w:sz="4" w:space="0" w:color="auto"/>
            </w:tcBorders>
            <w:shd w:val="clear" w:color="auto" w:fill="auto"/>
            <w:vAlign w:val="bottom"/>
            <w:hideMark/>
          </w:tcPr>
          <w:p w14:paraId="7881165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5711.6</w:t>
            </w:r>
          </w:p>
        </w:tc>
        <w:tc>
          <w:tcPr>
            <w:tcW w:w="900" w:type="dxa"/>
            <w:tcBorders>
              <w:top w:val="nil"/>
              <w:left w:val="nil"/>
              <w:bottom w:val="nil"/>
              <w:right w:val="single" w:sz="8" w:space="0" w:color="auto"/>
            </w:tcBorders>
            <w:shd w:val="clear" w:color="auto" w:fill="auto"/>
            <w:vAlign w:val="bottom"/>
            <w:hideMark/>
          </w:tcPr>
          <w:p w14:paraId="0B436DDD"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5791.6</w:t>
            </w:r>
          </w:p>
        </w:tc>
        <w:tc>
          <w:tcPr>
            <w:tcW w:w="990" w:type="dxa"/>
            <w:tcBorders>
              <w:top w:val="nil"/>
              <w:left w:val="single" w:sz="8" w:space="0" w:color="auto"/>
              <w:bottom w:val="nil"/>
              <w:right w:val="single" w:sz="4" w:space="0" w:color="auto"/>
            </w:tcBorders>
            <w:shd w:val="clear" w:color="000000" w:fill="FFC000"/>
            <w:vAlign w:val="bottom"/>
            <w:hideMark/>
          </w:tcPr>
          <w:p w14:paraId="34DA71CE"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single" w:sz="4" w:space="0" w:color="auto"/>
              <w:bottom w:val="nil"/>
              <w:right w:val="single" w:sz="4" w:space="0" w:color="auto"/>
            </w:tcBorders>
            <w:shd w:val="clear" w:color="000000" w:fill="FFC000"/>
            <w:vAlign w:val="bottom"/>
            <w:hideMark/>
          </w:tcPr>
          <w:p w14:paraId="3B4CC05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8" w:space="0" w:color="auto"/>
            </w:tcBorders>
            <w:shd w:val="clear" w:color="auto" w:fill="auto"/>
            <w:vAlign w:val="bottom"/>
            <w:hideMark/>
          </w:tcPr>
          <w:p w14:paraId="0A7C38B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239A88D4"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1889019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13</w:t>
            </w:r>
          </w:p>
        </w:tc>
        <w:tc>
          <w:tcPr>
            <w:tcW w:w="856" w:type="dxa"/>
            <w:tcBorders>
              <w:top w:val="nil"/>
              <w:left w:val="single" w:sz="8" w:space="0" w:color="auto"/>
              <w:bottom w:val="nil"/>
              <w:right w:val="single" w:sz="4" w:space="0" w:color="auto"/>
            </w:tcBorders>
            <w:shd w:val="clear" w:color="auto" w:fill="auto"/>
            <w:vAlign w:val="bottom"/>
            <w:hideMark/>
          </w:tcPr>
          <w:p w14:paraId="5B0E90B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777</w:t>
            </w:r>
          </w:p>
        </w:tc>
        <w:tc>
          <w:tcPr>
            <w:tcW w:w="900" w:type="dxa"/>
            <w:tcBorders>
              <w:top w:val="nil"/>
              <w:left w:val="nil"/>
              <w:bottom w:val="nil"/>
              <w:right w:val="single" w:sz="8" w:space="0" w:color="auto"/>
            </w:tcBorders>
            <w:shd w:val="clear" w:color="auto" w:fill="auto"/>
            <w:vAlign w:val="bottom"/>
            <w:hideMark/>
          </w:tcPr>
          <w:p w14:paraId="58D373CE"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787</w:t>
            </w:r>
          </w:p>
        </w:tc>
        <w:tc>
          <w:tcPr>
            <w:tcW w:w="1170" w:type="dxa"/>
            <w:tcBorders>
              <w:top w:val="nil"/>
              <w:left w:val="nil"/>
              <w:bottom w:val="nil"/>
              <w:right w:val="nil"/>
            </w:tcBorders>
            <w:shd w:val="clear" w:color="auto" w:fill="auto"/>
            <w:vAlign w:val="bottom"/>
            <w:hideMark/>
          </w:tcPr>
          <w:p w14:paraId="430E9B2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w:t>
            </w:r>
          </w:p>
        </w:tc>
        <w:tc>
          <w:tcPr>
            <w:tcW w:w="900" w:type="dxa"/>
            <w:tcBorders>
              <w:top w:val="nil"/>
              <w:left w:val="single" w:sz="8" w:space="0" w:color="auto"/>
              <w:bottom w:val="nil"/>
              <w:right w:val="single" w:sz="4" w:space="0" w:color="auto"/>
            </w:tcBorders>
            <w:shd w:val="clear" w:color="auto" w:fill="auto"/>
            <w:vAlign w:val="bottom"/>
            <w:hideMark/>
          </w:tcPr>
          <w:p w14:paraId="2263D20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5439</w:t>
            </w:r>
          </w:p>
        </w:tc>
        <w:tc>
          <w:tcPr>
            <w:tcW w:w="900" w:type="dxa"/>
            <w:tcBorders>
              <w:top w:val="nil"/>
              <w:left w:val="nil"/>
              <w:bottom w:val="nil"/>
              <w:right w:val="single" w:sz="8" w:space="0" w:color="auto"/>
            </w:tcBorders>
            <w:shd w:val="clear" w:color="auto" w:fill="auto"/>
            <w:vAlign w:val="bottom"/>
            <w:hideMark/>
          </w:tcPr>
          <w:p w14:paraId="6A7E529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5509</w:t>
            </w:r>
          </w:p>
        </w:tc>
        <w:tc>
          <w:tcPr>
            <w:tcW w:w="990" w:type="dxa"/>
            <w:tcBorders>
              <w:top w:val="nil"/>
              <w:left w:val="single" w:sz="8" w:space="0" w:color="auto"/>
              <w:bottom w:val="nil"/>
              <w:right w:val="single" w:sz="4" w:space="0" w:color="auto"/>
            </w:tcBorders>
            <w:shd w:val="clear" w:color="000000" w:fill="FFC000"/>
            <w:vAlign w:val="bottom"/>
            <w:hideMark/>
          </w:tcPr>
          <w:p w14:paraId="0B32DC6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393DE65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16BB1ED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45E870D5"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7A7FF05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19</w:t>
            </w:r>
          </w:p>
        </w:tc>
        <w:tc>
          <w:tcPr>
            <w:tcW w:w="856" w:type="dxa"/>
            <w:tcBorders>
              <w:top w:val="nil"/>
              <w:left w:val="single" w:sz="8" w:space="0" w:color="auto"/>
              <w:bottom w:val="nil"/>
              <w:right w:val="single" w:sz="4" w:space="0" w:color="auto"/>
            </w:tcBorders>
            <w:shd w:val="clear" w:color="auto" w:fill="auto"/>
            <w:vAlign w:val="bottom"/>
            <w:hideMark/>
          </w:tcPr>
          <w:p w14:paraId="1935780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830</w:t>
            </w:r>
          </w:p>
        </w:tc>
        <w:tc>
          <w:tcPr>
            <w:tcW w:w="900" w:type="dxa"/>
            <w:tcBorders>
              <w:top w:val="nil"/>
              <w:left w:val="nil"/>
              <w:bottom w:val="nil"/>
              <w:right w:val="single" w:sz="8" w:space="0" w:color="auto"/>
            </w:tcBorders>
            <w:shd w:val="clear" w:color="auto" w:fill="auto"/>
            <w:vAlign w:val="bottom"/>
            <w:hideMark/>
          </w:tcPr>
          <w:p w14:paraId="334A86C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845</w:t>
            </w:r>
          </w:p>
        </w:tc>
        <w:tc>
          <w:tcPr>
            <w:tcW w:w="1170" w:type="dxa"/>
            <w:tcBorders>
              <w:top w:val="nil"/>
              <w:left w:val="nil"/>
              <w:bottom w:val="nil"/>
              <w:right w:val="nil"/>
            </w:tcBorders>
            <w:shd w:val="clear" w:color="auto" w:fill="auto"/>
            <w:vAlign w:val="bottom"/>
            <w:hideMark/>
          </w:tcPr>
          <w:p w14:paraId="4D2138C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w:t>
            </w:r>
          </w:p>
        </w:tc>
        <w:tc>
          <w:tcPr>
            <w:tcW w:w="900" w:type="dxa"/>
            <w:tcBorders>
              <w:top w:val="nil"/>
              <w:left w:val="single" w:sz="8" w:space="0" w:color="auto"/>
              <w:bottom w:val="nil"/>
              <w:right w:val="single" w:sz="4" w:space="0" w:color="auto"/>
            </w:tcBorders>
            <w:shd w:val="clear" w:color="auto" w:fill="auto"/>
            <w:vAlign w:val="bottom"/>
            <w:hideMark/>
          </w:tcPr>
          <w:p w14:paraId="0E8C759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5810</w:t>
            </w:r>
          </w:p>
        </w:tc>
        <w:tc>
          <w:tcPr>
            <w:tcW w:w="900" w:type="dxa"/>
            <w:tcBorders>
              <w:top w:val="nil"/>
              <w:left w:val="nil"/>
              <w:bottom w:val="nil"/>
              <w:right w:val="single" w:sz="8" w:space="0" w:color="auto"/>
            </w:tcBorders>
            <w:shd w:val="clear" w:color="auto" w:fill="auto"/>
            <w:vAlign w:val="bottom"/>
            <w:hideMark/>
          </w:tcPr>
          <w:p w14:paraId="3D875A3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5915</w:t>
            </w:r>
          </w:p>
        </w:tc>
        <w:tc>
          <w:tcPr>
            <w:tcW w:w="990" w:type="dxa"/>
            <w:tcBorders>
              <w:top w:val="nil"/>
              <w:left w:val="single" w:sz="8" w:space="0" w:color="auto"/>
              <w:bottom w:val="nil"/>
              <w:right w:val="single" w:sz="4" w:space="0" w:color="auto"/>
            </w:tcBorders>
            <w:shd w:val="clear" w:color="000000" w:fill="FFC000"/>
            <w:vAlign w:val="bottom"/>
            <w:hideMark/>
          </w:tcPr>
          <w:p w14:paraId="0C9D240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037C3342"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000000" w:fill="FFC000"/>
            <w:vAlign w:val="bottom"/>
            <w:hideMark/>
          </w:tcPr>
          <w:p w14:paraId="4EC7111D"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r>
      <w:tr w:rsidR="00923CD2" w:rsidRPr="00923CD2" w14:paraId="32F4A1E6"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013D796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21</w:t>
            </w:r>
          </w:p>
        </w:tc>
        <w:tc>
          <w:tcPr>
            <w:tcW w:w="856" w:type="dxa"/>
            <w:tcBorders>
              <w:top w:val="nil"/>
              <w:left w:val="single" w:sz="8" w:space="0" w:color="auto"/>
              <w:bottom w:val="nil"/>
              <w:right w:val="single" w:sz="4" w:space="0" w:color="auto"/>
            </w:tcBorders>
            <w:shd w:val="clear" w:color="auto" w:fill="auto"/>
            <w:vAlign w:val="bottom"/>
            <w:hideMark/>
          </w:tcPr>
          <w:p w14:paraId="2E67AFC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1447.9</w:t>
            </w:r>
          </w:p>
        </w:tc>
        <w:tc>
          <w:tcPr>
            <w:tcW w:w="900" w:type="dxa"/>
            <w:tcBorders>
              <w:top w:val="nil"/>
              <w:left w:val="nil"/>
              <w:bottom w:val="nil"/>
              <w:right w:val="single" w:sz="8" w:space="0" w:color="auto"/>
            </w:tcBorders>
            <w:shd w:val="clear" w:color="auto" w:fill="auto"/>
            <w:vAlign w:val="bottom"/>
            <w:hideMark/>
          </w:tcPr>
          <w:p w14:paraId="5ACF17B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1462.9</w:t>
            </w:r>
          </w:p>
        </w:tc>
        <w:tc>
          <w:tcPr>
            <w:tcW w:w="1170" w:type="dxa"/>
            <w:tcBorders>
              <w:top w:val="nil"/>
              <w:left w:val="nil"/>
              <w:bottom w:val="nil"/>
              <w:right w:val="nil"/>
            </w:tcBorders>
            <w:shd w:val="clear" w:color="auto" w:fill="auto"/>
            <w:vAlign w:val="bottom"/>
            <w:hideMark/>
          </w:tcPr>
          <w:p w14:paraId="55CDDC8D"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4</w:t>
            </w:r>
          </w:p>
        </w:tc>
        <w:tc>
          <w:tcPr>
            <w:tcW w:w="900" w:type="dxa"/>
            <w:tcBorders>
              <w:top w:val="nil"/>
              <w:left w:val="single" w:sz="8" w:space="0" w:color="auto"/>
              <w:bottom w:val="nil"/>
              <w:right w:val="single" w:sz="4" w:space="0" w:color="auto"/>
            </w:tcBorders>
            <w:shd w:val="clear" w:color="auto" w:fill="auto"/>
            <w:vAlign w:val="bottom"/>
            <w:hideMark/>
          </w:tcPr>
          <w:p w14:paraId="5592E23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5791.6</w:t>
            </w:r>
          </w:p>
        </w:tc>
        <w:tc>
          <w:tcPr>
            <w:tcW w:w="900" w:type="dxa"/>
            <w:tcBorders>
              <w:top w:val="nil"/>
              <w:left w:val="nil"/>
              <w:bottom w:val="nil"/>
              <w:right w:val="single" w:sz="8" w:space="0" w:color="auto"/>
            </w:tcBorders>
            <w:shd w:val="clear" w:color="auto" w:fill="auto"/>
            <w:vAlign w:val="bottom"/>
            <w:hideMark/>
          </w:tcPr>
          <w:p w14:paraId="7EFC4AE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5851.6</w:t>
            </w:r>
          </w:p>
        </w:tc>
        <w:tc>
          <w:tcPr>
            <w:tcW w:w="990" w:type="dxa"/>
            <w:tcBorders>
              <w:top w:val="nil"/>
              <w:left w:val="single" w:sz="8" w:space="0" w:color="auto"/>
              <w:bottom w:val="nil"/>
              <w:right w:val="single" w:sz="4" w:space="0" w:color="auto"/>
            </w:tcBorders>
            <w:shd w:val="clear" w:color="000000" w:fill="FFC000"/>
            <w:vAlign w:val="bottom"/>
            <w:hideMark/>
          </w:tcPr>
          <w:p w14:paraId="2FD1E58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225FE1B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000000" w:fill="FFC000"/>
            <w:vAlign w:val="bottom"/>
            <w:hideMark/>
          </w:tcPr>
          <w:p w14:paraId="5363B3C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r>
      <w:tr w:rsidR="00923CD2" w:rsidRPr="00923CD2" w14:paraId="0498BBBB"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6DF3CEC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28</w:t>
            </w:r>
          </w:p>
        </w:tc>
        <w:tc>
          <w:tcPr>
            <w:tcW w:w="856" w:type="dxa"/>
            <w:tcBorders>
              <w:top w:val="nil"/>
              <w:left w:val="single" w:sz="8" w:space="0" w:color="auto"/>
              <w:bottom w:val="nil"/>
              <w:right w:val="single" w:sz="4" w:space="0" w:color="auto"/>
            </w:tcBorders>
            <w:shd w:val="clear" w:color="auto" w:fill="auto"/>
            <w:vAlign w:val="bottom"/>
            <w:hideMark/>
          </w:tcPr>
          <w:p w14:paraId="3D5029B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703</w:t>
            </w:r>
          </w:p>
        </w:tc>
        <w:tc>
          <w:tcPr>
            <w:tcW w:w="900" w:type="dxa"/>
            <w:tcBorders>
              <w:top w:val="nil"/>
              <w:left w:val="nil"/>
              <w:bottom w:val="nil"/>
              <w:right w:val="single" w:sz="8" w:space="0" w:color="auto"/>
            </w:tcBorders>
            <w:shd w:val="clear" w:color="auto" w:fill="auto"/>
            <w:vAlign w:val="bottom"/>
            <w:hideMark/>
          </w:tcPr>
          <w:p w14:paraId="475D3CB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748</w:t>
            </w:r>
          </w:p>
        </w:tc>
        <w:tc>
          <w:tcPr>
            <w:tcW w:w="1170" w:type="dxa"/>
            <w:tcBorders>
              <w:top w:val="nil"/>
              <w:left w:val="nil"/>
              <w:bottom w:val="nil"/>
              <w:right w:val="nil"/>
            </w:tcBorders>
            <w:shd w:val="clear" w:color="auto" w:fill="auto"/>
            <w:vAlign w:val="bottom"/>
            <w:hideMark/>
          </w:tcPr>
          <w:p w14:paraId="5EEE9C7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w:t>
            </w:r>
          </w:p>
        </w:tc>
        <w:tc>
          <w:tcPr>
            <w:tcW w:w="900" w:type="dxa"/>
            <w:tcBorders>
              <w:top w:val="nil"/>
              <w:left w:val="single" w:sz="8" w:space="0" w:color="auto"/>
              <w:bottom w:val="nil"/>
              <w:right w:val="single" w:sz="4" w:space="0" w:color="auto"/>
            </w:tcBorders>
            <w:shd w:val="clear" w:color="auto" w:fill="auto"/>
            <w:vAlign w:val="bottom"/>
            <w:hideMark/>
          </w:tcPr>
          <w:p w14:paraId="02F510E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4921</w:t>
            </w:r>
          </w:p>
        </w:tc>
        <w:tc>
          <w:tcPr>
            <w:tcW w:w="900" w:type="dxa"/>
            <w:tcBorders>
              <w:top w:val="nil"/>
              <w:left w:val="nil"/>
              <w:bottom w:val="nil"/>
              <w:right w:val="single" w:sz="8" w:space="0" w:color="auto"/>
            </w:tcBorders>
            <w:shd w:val="clear" w:color="auto" w:fill="auto"/>
            <w:vAlign w:val="bottom"/>
            <w:hideMark/>
          </w:tcPr>
          <w:p w14:paraId="0E95D33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5236</w:t>
            </w:r>
          </w:p>
        </w:tc>
        <w:tc>
          <w:tcPr>
            <w:tcW w:w="990" w:type="dxa"/>
            <w:tcBorders>
              <w:top w:val="nil"/>
              <w:left w:val="single" w:sz="8" w:space="0" w:color="auto"/>
              <w:bottom w:val="nil"/>
              <w:right w:val="single" w:sz="4" w:space="0" w:color="auto"/>
            </w:tcBorders>
            <w:shd w:val="clear" w:color="000000" w:fill="FFC000"/>
            <w:vAlign w:val="bottom"/>
            <w:hideMark/>
          </w:tcPr>
          <w:p w14:paraId="24D5D84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3AD6013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3EF97F6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63A4C81D"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7266A25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28</w:t>
            </w:r>
          </w:p>
        </w:tc>
        <w:tc>
          <w:tcPr>
            <w:tcW w:w="856" w:type="dxa"/>
            <w:tcBorders>
              <w:top w:val="nil"/>
              <w:left w:val="single" w:sz="8" w:space="0" w:color="auto"/>
              <w:bottom w:val="nil"/>
              <w:right w:val="single" w:sz="4" w:space="0" w:color="auto"/>
            </w:tcBorders>
            <w:shd w:val="clear" w:color="auto" w:fill="auto"/>
            <w:vAlign w:val="bottom"/>
            <w:hideMark/>
          </w:tcPr>
          <w:p w14:paraId="666EC04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703</w:t>
            </w:r>
          </w:p>
        </w:tc>
        <w:tc>
          <w:tcPr>
            <w:tcW w:w="900" w:type="dxa"/>
            <w:tcBorders>
              <w:top w:val="nil"/>
              <w:left w:val="nil"/>
              <w:bottom w:val="nil"/>
              <w:right w:val="single" w:sz="8" w:space="0" w:color="auto"/>
            </w:tcBorders>
            <w:shd w:val="clear" w:color="auto" w:fill="auto"/>
            <w:vAlign w:val="bottom"/>
            <w:hideMark/>
          </w:tcPr>
          <w:p w14:paraId="41D3CB3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748</w:t>
            </w:r>
          </w:p>
        </w:tc>
        <w:tc>
          <w:tcPr>
            <w:tcW w:w="1170" w:type="dxa"/>
            <w:tcBorders>
              <w:top w:val="nil"/>
              <w:left w:val="nil"/>
              <w:bottom w:val="nil"/>
              <w:right w:val="nil"/>
            </w:tcBorders>
            <w:shd w:val="clear" w:color="auto" w:fill="auto"/>
            <w:vAlign w:val="bottom"/>
            <w:hideMark/>
          </w:tcPr>
          <w:p w14:paraId="75290D1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8</w:t>
            </w:r>
          </w:p>
        </w:tc>
        <w:tc>
          <w:tcPr>
            <w:tcW w:w="900" w:type="dxa"/>
            <w:tcBorders>
              <w:top w:val="nil"/>
              <w:left w:val="single" w:sz="8" w:space="0" w:color="auto"/>
              <w:bottom w:val="nil"/>
              <w:right w:val="single" w:sz="4" w:space="0" w:color="auto"/>
            </w:tcBorders>
            <w:shd w:val="clear" w:color="auto" w:fill="auto"/>
            <w:vAlign w:val="bottom"/>
            <w:hideMark/>
          </w:tcPr>
          <w:p w14:paraId="42E8506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5624</w:t>
            </w:r>
          </w:p>
        </w:tc>
        <w:tc>
          <w:tcPr>
            <w:tcW w:w="900" w:type="dxa"/>
            <w:tcBorders>
              <w:top w:val="nil"/>
              <w:left w:val="nil"/>
              <w:bottom w:val="nil"/>
              <w:right w:val="single" w:sz="8" w:space="0" w:color="auto"/>
            </w:tcBorders>
            <w:shd w:val="clear" w:color="auto" w:fill="auto"/>
            <w:vAlign w:val="bottom"/>
            <w:hideMark/>
          </w:tcPr>
          <w:p w14:paraId="65621F1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5984</w:t>
            </w:r>
          </w:p>
        </w:tc>
        <w:tc>
          <w:tcPr>
            <w:tcW w:w="990" w:type="dxa"/>
            <w:tcBorders>
              <w:top w:val="nil"/>
              <w:left w:val="single" w:sz="8" w:space="0" w:color="auto"/>
              <w:bottom w:val="nil"/>
              <w:right w:val="single" w:sz="4" w:space="0" w:color="auto"/>
            </w:tcBorders>
            <w:shd w:val="clear" w:color="000000" w:fill="FFC000"/>
            <w:vAlign w:val="bottom"/>
            <w:hideMark/>
          </w:tcPr>
          <w:p w14:paraId="004EB53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single" w:sz="4" w:space="0" w:color="auto"/>
              <w:bottom w:val="nil"/>
              <w:right w:val="single" w:sz="4" w:space="0" w:color="auto"/>
            </w:tcBorders>
            <w:shd w:val="clear" w:color="000000" w:fill="FFC000"/>
            <w:vAlign w:val="bottom"/>
            <w:hideMark/>
          </w:tcPr>
          <w:p w14:paraId="668B5B0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8" w:space="0" w:color="auto"/>
            </w:tcBorders>
            <w:shd w:val="clear" w:color="000000" w:fill="FFC000"/>
            <w:vAlign w:val="bottom"/>
            <w:hideMark/>
          </w:tcPr>
          <w:p w14:paraId="0B30A13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r>
      <w:tr w:rsidR="00923CD2" w:rsidRPr="00923CD2" w14:paraId="52ED112C"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439DEF4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39</w:t>
            </w:r>
          </w:p>
        </w:tc>
        <w:tc>
          <w:tcPr>
            <w:tcW w:w="856" w:type="dxa"/>
            <w:tcBorders>
              <w:top w:val="nil"/>
              <w:left w:val="single" w:sz="8" w:space="0" w:color="auto"/>
              <w:bottom w:val="nil"/>
              <w:right w:val="single" w:sz="4" w:space="0" w:color="auto"/>
            </w:tcBorders>
            <w:shd w:val="clear" w:color="auto" w:fill="auto"/>
            <w:vAlign w:val="bottom"/>
            <w:hideMark/>
          </w:tcPr>
          <w:p w14:paraId="1CF1627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1880</w:t>
            </w:r>
          </w:p>
        </w:tc>
        <w:tc>
          <w:tcPr>
            <w:tcW w:w="900" w:type="dxa"/>
            <w:tcBorders>
              <w:top w:val="nil"/>
              <w:left w:val="nil"/>
              <w:bottom w:val="nil"/>
              <w:right w:val="single" w:sz="8" w:space="0" w:color="auto"/>
            </w:tcBorders>
            <w:shd w:val="clear" w:color="auto" w:fill="auto"/>
            <w:vAlign w:val="bottom"/>
            <w:hideMark/>
          </w:tcPr>
          <w:p w14:paraId="735B49BE"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1920</w:t>
            </w:r>
          </w:p>
        </w:tc>
        <w:tc>
          <w:tcPr>
            <w:tcW w:w="1170" w:type="dxa"/>
            <w:tcBorders>
              <w:top w:val="nil"/>
              <w:left w:val="nil"/>
              <w:bottom w:val="nil"/>
              <w:right w:val="nil"/>
            </w:tcBorders>
            <w:shd w:val="clear" w:color="auto" w:fill="auto"/>
            <w:vAlign w:val="bottom"/>
            <w:hideMark/>
          </w:tcPr>
          <w:p w14:paraId="1028E80D"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900" w:type="dxa"/>
            <w:tcBorders>
              <w:top w:val="nil"/>
              <w:left w:val="single" w:sz="8" w:space="0" w:color="auto"/>
              <w:bottom w:val="nil"/>
              <w:right w:val="single" w:sz="4" w:space="0" w:color="auto"/>
            </w:tcBorders>
            <w:shd w:val="clear" w:color="auto" w:fill="auto"/>
            <w:vAlign w:val="bottom"/>
            <w:hideMark/>
          </w:tcPr>
          <w:p w14:paraId="0C5AEF1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5640</w:t>
            </w:r>
          </w:p>
        </w:tc>
        <w:tc>
          <w:tcPr>
            <w:tcW w:w="900" w:type="dxa"/>
            <w:tcBorders>
              <w:top w:val="nil"/>
              <w:left w:val="nil"/>
              <w:bottom w:val="nil"/>
              <w:right w:val="single" w:sz="8" w:space="0" w:color="auto"/>
            </w:tcBorders>
            <w:shd w:val="clear" w:color="auto" w:fill="auto"/>
            <w:vAlign w:val="bottom"/>
            <w:hideMark/>
          </w:tcPr>
          <w:p w14:paraId="17936AA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5760</w:t>
            </w:r>
          </w:p>
        </w:tc>
        <w:tc>
          <w:tcPr>
            <w:tcW w:w="990" w:type="dxa"/>
            <w:tcBorders>
              <w:top w:val="nil"/>
              <w:left w:val="single" w:sz="8" w:space="0" w:color="auto"/>
              <w:bottom w:val="nil"/>
              <w:right w:val="single" w:sz="4" w:space="0" w:color="auto"/>
            </w:tcBorders>
            <w:shd w:val="clear" w:color="000000" w:fill="FFC000"/>
            <w:vAlign w:val="bottom"/>
            <w:hideMark/>
          </w:tcPr>
          <w:p w14:paraId="0D6F309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single" w:sz="4" w:space="0" w:color="auto"/>
              <w:bottom w:val="nil"/>
              <w:right w:val="single" w:sz="4" w:space="0" w:color="auto"/>
            </w:tcBorders>
            <w:shd w:val="clear" w:color="000000" w:fill="FFC000"/>
            <w:vAlign w:val="bottom"/>
            <w:hideMark/>
          </w:tcPr>
          <w:p w14:paraId="7DA87D0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8" w:space="0" w:color="auto"/>
            </w:tcBorders>
            <w:shd w:val="clear" w:color="auto" w:fill="auto"/>
            <w:vAlign w:val="bottom"/>
            <w:hideMark/>
          </w:tcPr>
          <w:p w14:paraId="43D163C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1C7ADEBE"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6BB89CF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40</w:t>
            </w:r>
          </w:p>
        </w:tc>
        <w:tc>
          <w:tcPr>
            <w:tcW w:w="856" w:type="dxa"/>
            <w:tcBorders>
              <w:top w:val="nil"/>
              <w:left w:val="single" w:sz="8" w:space="0" w:color="auto"/>
              <w:bottom w:val="nil"/>
              <w:right w:val="single" w:sz="4" w:space="0" w:color="auto"/>
            </w:tcBorders>
            <w:shd w:val="clear" w:color="auto" w:fill="auto"/>
            <w:vAlign w:val="bottom"/>
            <w:hideMark/>
          </w:tcPr>
          <w:p w14:paraId="2469F98F"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2300</w:t>
            </w:r>
          </w:p>
        </w:tc>
        <w:tc>
          <w:tcPr>
            <w:tcW w:w="900" w:type="dxa"/>
            <w:tcBorders>
              <w:top w:val="nil"/>
              <w:left w:val="nil"/>
              <w:bottom w:val="nil"/>
              <w:right w:val="single" w:sz="8" w:space="0" w:color="auto"/>
            </w:tcBorders>
            <w:shd w:val="clear" w:color="auto" w:fill="auto"/>
            <w:vAlign w:val="bottom"/>
            <w:hideMark/>
          </w:tcPr>
          <w:p w14:paraId="1097B05A"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2400</w:t>
            </w:r>
          </w:p>
        </w:tc>
        <w:tc>
          <w:tcPr>
            <w:tcW w:w="1170" w:type="dxa"/>
            <w:tcBorders>
              <w:top w:val="nil"/>
              <w:left w:val="nil"/>
              <w:bottom w:val="nil"/>
              <w:right w:val="nil"/>
            </w:tcBorders>
            <w:shd w:val="clear" w:color="auto" w:fill="auto"/>
            <w:vAlign w:val="bottom"/>
            <w:hideMark/>
          </w:tcPr>
          <w:p w14:paraId="2655388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900" w:type="dxa"/>
            <w:tcBorders>
              <w:top w:val="nil"/>
              <w:left w:val="single" w:sz="8" w:space="0" w:color="auto"/>
              <w:bottom w:val="nil"/>
              <w:right w:val="single" w:sz="4" w:space="0" w:color="auto"/>
            </w:tcBorders>
            <w:shd w:val="clear" w:color="auto" w:fill="auto"/>
            <w:vAlign w:val="bottom"/>
            <w:hideMark/>
          </w:tcPr>
          <w:p w14:paraId="2E663FA0"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6900</w:t>
            </w:r>
          </w:p>
        </w:tc>
        <w:tc>
          <w:tcPr>
            <w:tcW w:w="900" w:type="dxa"/>
            <w:tcBorders>
              <w:top w:val="nil"/>
              <w:left w:val="nil"/>
              <w:bottom w:val="nil"/>
              <w:right w:val="single" w:sz="8" w:space="0" w:color="auto"/>
            </w:tcBorders>
            <w:shd w:val="clear" w:color="auto" w:fill="auto"/>
            <w:vAlign w:val="bottom"/>
            <w:hideMark/>
          </w:tcPr>
          <w:p w14:paraId="23A3B9E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7200</w:t>
            </w:r>
          </w:p>
        </w:tc>
        <w:tc>
          <w:tcPr>
            <w:tcW w:w="990" w:type="dxa"/>
            <w:tcBorders>
              <w:top w:val="nil"/>
              <w:left w:val="nil"/>
              <w:bottom w:val="nil"/>
              <w:right w:val="single" w:sz="4" w:space="0" w:color="auto"/>
            </w:tcBorders>
            <w:shd w:val="clear" w:color="auto" w:fill="auto"/>
            <w:vAlign w:val="bottom"/>
            <w:hideMark/>
          </w:tcPr>
          <w:p w14:paraId="5B1F0E5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4" w:space="0" w:color="auto"/>
            </w:tcBorders>
            <w:shd w:val="clear" w:color="auto" w:fill="auto"/>
            <w:vAlign w:val="bottom"/>
            <w:hideMark/>
          </w:tcPr>
          <w:p w14:paraId="5176B18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5185FE5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6234DD78"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30BFED0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41</w:t>
            </w:r>
          </w:p>
        </w:tc>
        <w:tc>
          <w:tcPr>
            <w:tcW w:w="856" w:type="dxa"/>
            <w:tcBorders>
              <w:top w:val="nil"/>
              <w:left w:val="single" w:sz="8" w:space="0" w:color="auto"/>
              <w:bottom w:val="nil"/>
              <w:right w:val="single" w:sz="4" w:space="0" w:color="auto"/>
            </w:tcBorders>
            <w:shd w:val="clear" w:color="auto" w:fill="auto"/>
            <w:vAlign w:val="bottom"/>
            <w:hideMark/>
          </w:tcPr>
          <w:p w14:paraId="4DF4DC6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2496</w:t>
            </w:r>
          </w:p>
        </w:tc>
        <w:tc>
          <w:tcPr>
            <w:tcW w:w="900" w:type="dxa"/>
            <w:tcBorders>
              <w:top w:val="nil"/>
              <w:left w:val="nil"/>
              <w:bottom w:val="nil"/>
              <w:right w:val="single" w:sz="8" w:space="0" w:color="auto"/>
            </w:tcBorders>
            <w:shd w:val="clear" w:color="auto" w:fill="auto"/>
            <w:vAlign w:val="bottom"/>
            <w:hideMark/>
          </w:tcPr>
          <w:p w14:paraId="45B7C0A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2690</w:t>
            </w:r>
          </w:p>
        </w:tc>
        <w:tc>
          <w:tcPr>
            <w:tcW w:w="1170" w:type="dxa"/>
            <w:tcBorders>
              <w:top w:val="nil"/>
              <w:left w:val="nil"/>
              <w:bottom w:val="nil"/>
              <w:right w:val="nil"/>
            </w:tcBorders>
            <w:shd w:val="clear" w:color="auto" w:fill="auto"/>
            <w:vAlign w:val="bottom"/>
            <w:hideMark/>
          </w:tcPr>
          <w:p w14:paraId="35673FE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2</w:t>
            </w:r>
          </w:p>
        </w:tc>
        <w:tc>
          <w:tcPr>
            <w:tcW w:w="900" w:type="dxa"/>
            <w:tcBorders>
              <w:top w:val="nil"/>
              <w:left w:val="single" w:sz="8" w:space="0" w:color="auto"/>
              <w:bottom w:val="nil"/>
              <w:right w:val="single" w:sz="4" w:space="0" w:color="auto"/>
            </w:tcBorders>
            <w:shd w:val="clear" w:color="auto" w:fill="auto"/>
            <w:vAlign w:val="bottom"/>
            <w:hideMark/>
          </w:tcPr>
          <w:p w14:paraId="550A79D2"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4992</w:t>
            </w:r>
          </w:p>
        </w:tc>
        <w:tc>
          <w:tcPr>
            <w:tcW w:w="900" w:type="dxa"/>
            <w:tcBorders>
              <w:top w:val="nil"/>
              <w:left w:val="nil"/>
              <w:bottom w:val="nil"/>
              <w:right w:val="single" w:sz="8" w:space="0" w:color="auto"/>
            </w:tcBorders>
            <w:shd w:val="clear" w:color="auto" w:fill="auto"/>
            <w:vAlign w:val="bottom"/>
            <w:hideMark/>
          </w:tcPr>
          <w:p w14:paraId="0DF05A6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5380</w:t>
            </w:r>
          </w:p>
        </w:tc>
        <w:tc>
          <w:tcPr>
            <w:tcW w:w="990" w:type="dxa"/>
            <w:tcBorders>
              <w:top w:val="nil"/>
              <w:left w:val="single" w:sz="8" w:space="0" w:color="auto"/>
              <w:bottom w:val="nil"/>
              <w:right w:val="single" w:sz="4" w:space="0" w:color="auto"/>
            </w:tcBorders>
            <w:shd w:val="clear" w:color="000000" w:fill="FFC000"/>
            <w:vAlign w:val="bottom"/>
            <w:hideMark/>
          </w:tcPr>
          <w:p w14:paraId="58C84D6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nil"/>
              <w:right w:val="single" w:sz="4" w:space="0" w:color="auto"/>
            </w:tcBorders>
            <w:shd w:val="clear" w:color="auto" w:fill="auto"/>
            <w:vAlign w:val="bottom"/>
            <w:hideMark/>
          </w:tcPr>
          <w:p w14:paraId="174F10B0"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4F3FEB5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02D31B4E" w14:textId="77777777" w:rsidTr="00E35D7F">
        <w:trPr>
          <w:trHeight w:val="245"/>
          <w:jc w:val="center"/>
        </w:trPr>
        <w:tc>
          <w:tcPr>
            <w:tcW w:w="854" w:type="dxa"/>
            <w:tcBorders>
              <w:top w:val="nil"/>
              <w:left w:val="single" w:sz="8" w:space="0" w:color="auto"/>
              <w:bottom w:val="nil"/>
              <w:right w:val="nil"/>
            </w:tcBorders>
            <w:shd w:val="clear" w:color="auto" w:fill="auto"/>
            <w:vAlign w:val="bottom"/>
            <w:hideMark/>
          </w:tcPr>
          <w:p w14:paraId="2121358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42</w:t>
            </w:r>
          </w:p>
        </w:tc>
        <w:tc>
          <w:tcPr>
            <w:tcW w:w="856" w:type="dxa"/>
            <w:tcBorders>
              <w:top w:val="nil"/>
              <w:left w:val="single" w:sz="8" w:space="0" w:color="auto"/>
              <w:bottom w:val="nil"/>
              <w:right w:val="single" w:sz="4" w:space="0" w:color="auto"/>
            </w:tcBorders>
            <w:shd w:val="clear" w:color="auto" w:fill="auto"/>
            <w:vAlign w:val="bottom"/>
            <w:hideMark/>
          </w:tcPr>
          <w:p w14:paraId="120EB22B"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3400</w:t>
            </w:r>
          </w:p>
        </w:tc>
        <w:tc>
          <w:tcPr>
            <w:tcW w:w="900" w:type="dxa"/>
            <w:tcBorders>
              <w:top w:val="nil"/>
              <w:left w:val="nil"/>
              <w:bottom w:val="nil"/>
              <w:right w:val="single" w:sz="8" w:space="0" w:color="auto"/>
            </w:tcBorders>
            <w:shd w:val="clear" w:color="auto" w:fill="auto"/>
            <w:vAlign w:val="bottom"/>
            <w:hideMark/>
          </w:tcPr>
          <w:p w14:paraId="58D5CB5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3600</w:t>
            </w:r>
          </w:p>
        </w:tc>
        <w:tc>
          <w:tcPr>
            <w:tcW w:w="1170" w:type="dxa"/>
            <w:tcBorders>
              <w:top w:val="nil"/>
              <w:left w:val="nil"/>
              <w:bottom w:val="nil"/>
              <w:right w:val="nil"/>
            </w:tcBorders>
            <w:shd w:val="clear" w:color="auto" w:fill="auto"/>
            <w:vAlign w:val="bottom"/>
            <w:hideMark/>
          </w:tcPr>
          <w:p w14:paraId="1CE70A3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900" w:type="dxa"/>
            <w:tcBorders>
              <w:top w:val="nil"/>
              <w:left w:val="single" w:sz="8" w:space="0" w:color="auto"/>
              <w:bottom w:val="nil"/>
              <w:right w:val="single" w:sz="4" w:space="0" w:color="auto"/>
            </w:tcBorders>
            <w:shd w:val="clear" w:color="auto" w:fill="auto"/>
            <w:vAlign w:val="bottom"/>
            <w:hideMark/>
          </w:tcPr>
          <w:p w14:paraId="667FEDF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10200</w:t>
            </w:r>
          </w:p>
        </w:tc>
        <w:tc>
          <w:tcPr>
            <w:tcW w:w="900" w:type="dxa"/>
            <w:tcBorders>
              <w:top w:val="nil"/>
              <w:left w:val="nil"/>
              <w:bottom w:val="nil"/>
              <w:right w:val="single" w:sz="8" w:space="0" w:color="auto"/>
            </w:tcBorders>
            <w:shd w:val="clear" w:color="auto" w:fill="auto"/>
            <w:vAlign w:val="bottom"/>
            <w:hideMark/>
          </w:tcPr>
          <w:p w14:paraId="54D924F3"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10800</w:t>
            </w:r>
          </w:p>
        </w:tc>
        <w:tc>
          <w:tcPr>
            <w:tcW w:w="990" w:type="dxa"/>
            <w:tcBorders>
              <w:top w:val="nil"/>
              <w:left w:val="nil"/>
              <w:bottom w:val="nil"/>
              <w:right w:val="single" w:sz="4" w:space="0" w:color="auto"/>
            </w:tcBorders>
            <w:shd w:val="clear" w:color="auto" w:fill="auto"/>
            <w:vAlign w:val="bottom"/>
            <w:hideMark/>
          </w:tcPr>
          <w:p w14:paraId="296B60A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4" w:space="0" w:color="auto"/>
            </w:tcBorders>
            <w:shd w:val="clear" w:color="auto" w:fill="auto"/>
            <w:vAlign w:val="bottom"/>
            <w:hideMark/>
          </w:tcPr>
          <w:p w14:paraId="1767F9D4"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nil"/>
              <w:right w:val="single" w:sz="8" w:space="0" w:color="auto"/>
            </w:tcBorders>
            <w:shd w:val="clear" w:color="auto" w:fill="auto"/>
            <w:vAlign w:val="bottom"/>
            <w:hideMark/>
          </w:tcPr>
          <w:p w14:paraId="0AE809F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r w:rsidR="00923CD2" w:rsidRPr="00923CD2" w14:paraId="58F0E753" w14:textId="77777777" w:rsidTr="00E35D7F">
        <w:trPr>
          <w:trHeight w:val="255"/>
          <w:jc w:val="center"/>
        </w:trPr>
        <w:tc>
          <w:tcPr>
            <w:tcW w:w="854" w:type="dxa"/>
            <w:tcBorders>
              <w:top w:val="nil"/>
              <w:left w:val="single" w:sz="8" w:space="0" w:color="auto"/>
              <w:bottom w:val="single" w:sz="8" w:space="0" w:color="auto"/>
              <w:right w:val="nil"/>
            </w:tcBorders>
            <w:shd w:val="clear" w:color="auto" w:fill="auto"/>
            <w:vAlign w:val="bottom"/>
            <w:hideMark/>
          </w:tcPr>
          <w:p w14:paraId="77CB394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66</w:t>
            </w:r>
          </w:p>
        </w:tc>
        <w:tc>
          <w:tcPr>
            <w:tcW w:w="856" w:type="dxa"/>
            <w:tcBorders>
              <w:top w:val="nil"/>
              <w:left w:val="single" w:sz="8" w:space="0" w:color="auto"/>
              <w:bottom w:val="single" w:sz="8" w:space="0" w:color="auto"/>
              <w:right w:val="single" w:sz="4" w:space="0" w:color="auto"/>
            </w:tcBorders>
            <w:shd w:val="clear" w:color="auto" w:fill="auto"/>
            <w:vAlign w:val="bottom"/>
            <w:hideMark/>
          </w:tcPr>
          <w:p w14:paraId="4A605C1D"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1710</w:t>
            </w:r>
          </w:p>
        </w:tc>
        <w:tc>
          <w:tcPr>
            <w:tcW w:w="900" w:type="dxa"/>
            <w:tcBorders>
              <w:top w:val="nil"/>
              <w:left w:val="nil"/>
              <w:bottom w:val="single" w:sz="8" w:space="0" w:color="auto"/>
              <w:right w:val="single" w:sz="8" w:space="0" w:color="auto"/>
            </w:tcBorders>
            <w:shd w:val="clear" w:color="auto" w:fill="auto"/>
            <w:vAlign w:val="bottom"/>
            <w:hideMark/>
          </w:tcPr>
          <w:p w14:paraId="6DBAABDC"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1780</w:t>
            </w:r>
          </w:p>
        </w:tc>
        <w:tc>
          <w:tcPr>
            <w:tcW w:w="1170" w:type="dxa"/>
            <w:tcBorders>
              <w:top w:val="nil"/>
              <w:left w:val="nil"/>
              <w:bottom w:val="single" w:sz="8" w:space="0" w:color="auto"/>
              <w:right w:val="nil"/>
            </w:tcBorders>
            <w:shd w:val="clear" w:color="auto" w:fill="auto"/>
            <w:vAlign w:val="bottom"/>
            <w:hideMark/>
          </w:tcPr>
          <w:p w14:paraId="2D600345"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3</w:t>
            </w:r>
          </w:p>
        </w:tc>
        <w:tc>
          <w:tcPr>
            <w:tcW w:w="900" w:type="dxa"/>
            <w:tcBorders>
              <w:top w:val="nil"/>
              <w:left w:val="single" w:sz="8" w:space="0" w:color="auto"/>
              <w:bottom w:val="single" w:sz="8" w:space="0" w:color="auto"/>
              <w:right w:val="single" w:sz="4" w:space="0" w:color="auto"/>
            </w:tcBorders>
            <w:shd w:val="clear" w:color="auto" w:fill="auto"/>
            <w:vAlign w:val="bottom"/>
            <w:hideMark/>
          </w:tcPr>
          <w:p w14:paraId="576A3AB8"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5130</w:t>
            </w:r>
          </w:p>
        </w:tc>
        <w:tc>
          <w:tcPr>
            <w:tcW w:w="900" w:type="dxa"/>
            <w:tcBorders>
              <w:top w:val="nil"/>
              <w:left w:val="nil"/>
              <w:bottom w:val="single" w:sz="8" w:space="0" w:color="auto"/>
              <w:right w:val="single" w:sz="8" w:space="0" w:color="auto"/>
            </w:tcBorders>
            <w:shd w:val="clear" w:color="auto" w:fill="auto"/>
            <w:vAlign w:val="bottom"/>
            <w:hideMark/>
          </w:tcPr>
          <w:p w14:paraId="215B77B7"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5340</w:t>
            </w:r>
          </w:p>
        </w:tc>
        <w:tc>
          <w:tcPr>
            <w:tcW w:w="990" w:type="dxa"/>
            <w:tcBorders>
              <w:top w:val="nil"/>
              <w:left w:val="single" w:sz="8" w:space="0" w:color="auto"/>
              <w:bottom w:val="single" w:sz="8" w:space="0" w:color="auto"/>
              <w:right w:val="single" w:sz="4" w:space="0" w:color="auto"/>
            </w:tcBorders>
            <w:shd w:val="clear" w:color="000000" w:fill="FFC000"/>
            <w:vAlign w:val="bottom"/>
            <w:hideMark/>
          </w:tcPr>
          <w:p w14:paraId="4D0C7D46"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YES</w:t>
            </w:r>
          </w:p>
        </w:tc>
        <w:tc>
          <w:tcPr>
            <w:tcW w:w="1710" w:type="dxa"/>
            <w:tcBorders>
              <w:top w:val="nil"/>
              <w:left w:val="nil"/>
              <w:bottom w:val="single" w:sz="8" w:space="0" w:color="auto"/>
              <w:right w:val="single" w:sz="4" w:space="0" w:color="auto"/>
            </w:tcBorders>
            <w:shd w:val="clear" w:color="auto" w:fill="auto"/>
            <w:vAlign w:val="bottom"/>
            <w:hideMark/>
          </w:tcPr>
          <w:p w14:paraId="732EBF71"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c>
          <w:tcPr>
            <w:tcW w:w="1710" w:type="dxa"/>
            <w:tcBorders>
              <w:top w:val="nil"/>
              <w:left w:val="nil"/>
              <w:bottom w:val="single" w:sz="8" w:space="0" w:color="auto"/>
              <w:right w:val="single" w:sz="8" w:space="0" w:color="auto"/>
            </w:tcBorders>
            <w:shd w:val="clear" w:color="auto" w:fill="auto"/>
            <w:vAlign w:val="bottom"/>
            <w:hideMark/>
          </w:tcPr>
          <w:p w14:paraId="63734A29" w14:textId="77777777" w:rsidR="00923CD2" w:rsidRPr="00923CD2" w:rsidRDefault="00923CD2" w:rsidP="00923CD2">
            <w:pPr>
              <w:spacing w:after="0"/>
              <w:jc w:val="center"/>
              <w:rPr>
                <w:rFonts w:ascii="Calibri" w:hAnsi="Calibri"/>
                <w:color w:val="000000"/>
                <w:sz w:val="22"/>
                <w:szCs w:val="22"/>
                <w:lang w:val="en-US"/>
              </w:rPr>
            </w:pPr>
            <w:r w:rsidRPr="00923CD2">
              <w:rPr>
                <w:rFonts w:ascii="Calibri" w:hAnsi="Calibri"/>
                <w:color w:val="000000"/>
                <w:sz w:val="22"/>
                <w:szCs w:val="22"/>
                <w:lang w:val="en-US"/>
              </w:rPr>
              <w:t>NO</w:t>
            </w:r>
          </w:p>
        </w:tc>
      </w:tr>
    </w:tbl>
    <w:p w14:paraId="747C8DCF" w14:textId="77777777" w:rsidR="00923CD2" w:rsidRDefault="00923CD2" w:rsidP="003632C9">
      <w:pPr>
        <w:jc w:val="both"/>
        <w:rPr>
          <w:lang w:val="en-US"/>
        </w:rPr>
      </w:pPr>
    </w:p>
    <w:p w14:paraId="3E5BF5D4" w14:textId="7FBFB3D6" w:rsidR="00EA4D67" w:rsidRDefault="00EA4D67" w:rsidP="00EA4D67">
      <w:pPr>
        <w:pStyle w:val="Heading2"/>
        <w:rPr>
          <w:lang w:val="en-US"/>
        </w:rPr>
      </w:pPr>
      <w:bookmarkStart w:id="1" w:name="_Ref463041980"/>
      <w:r>
        <w:rPr>
          <w:lang w:val="en-US"/>
        </w:rPr>
        <w:t>REFSENSE exclusion region for 10MHz LAA channels</w:t>
      </w:r>
      <w:bookmarkEnd w:id="1"/>
    </w:p>
    <w:p w14:paraId="0A549ACF" w14:textId="77777777" w:rsidR="00180F33" w:rsidRDefault="00180F33" w:rsidP="00180F33">
      <w:pPr>
        <w:jc w:val="both"/>
        <w:rPr>
          <w:lang w:val="en-US"/>
        </w:rPr>
      </w:pPr>
      <w:r>
        <w:rPr>
          <w:lang w:val="en-US"/>
        </w:rPr>
        <w:t>In this section we only provide some observations about the impact of harmonics on 10MHz channels compared to what already specified for 20MHz B46 channels. Just considering the maximum UL allocation, i.e. 100RBs, the following observations can be made:</w:t>
      </w:r>
    </w:p>
    <w:p w14:paraId="06D247F8" w14:textId="75785E9A" w:rsidR="00180F33" w:rsidRDefault="00180F33" w:rsidP="005E3758">
      <w:pPr>
        <w:pStyle w:val="ListParagraph"/>
        <w:numPr>
          <w:ilvl w:val="0"/>
          <w:numId w:val="47"/>
        </w:numPr>
        <w:jc w:val="both"/>
        <w:rPr>
          <w:lang w:val="en-US"/>
        </w:rPr>
      </w:pPr>
      <w:r w:rsidRPr="00180F33">
        <w:rPr>
          <w:lang w:val="en-US"/>
        </w:rPr>
        <w:t xml:space="preserve">Direct hit MSD will be 3dB worse for 10MHz LAA BW vs 20MHz LAA BW.  </w:t>
      </w:r>
      <w:r w:rsidRPr="00180F33">
        <w:rPr>
          <w:lang w:val="en-US"/>
        </w:rPr>
        <w:t>This</w:t>
      </w:r>
      <w:r w:rsidRPr="00180F33">
        <w:rPr>
          <w:lang w:val="en-US"/>
        </w:rPr>
        <w:t xml:space="preserve"> is </w:t>
      </w:r>
      <w:r w:rsidRPr="00180F33">
        <w:rPr>
          <w:lang w:val="en-US"/>
        </w:rPr>
        <w:t xml:space="preserve">simply </w:t>
      </w:r>
      <w:r w:rsidRPr="00180F33">
        <w:rPr>
          <w:lang w:val="en-US"/>
        </w:rPr>
        <w:t xml:space="preserve">because the harmonic level is dominant over thermal noise, but </w:t>
      </w:r>
      <w:r>
        <w:rPr>
          <w:lang w:val="en-US"/>
        </w:rPr>
        <w:t xml:space="preserve">10MHz </w:t>
      </w:r>
      <w:r w:rsidRPr="00180F33">
        <w:rPr>
          <w:lang w:val="en-US"/>
        </w:rPr>
        <w:t>REFSEN</w:t>
      </w:r>
      <w:r>
        <w:rPr>
          <w:lang w:val="en-US"/>
        </w:rPr>
        <w:t>S</w:t>
      </w:r>
      <w:r w:rsidRPr="00180F33">
        <w:rPr>
          <w:lang w:val="en-US"/>
        </w:rPr>
        <w:t xml:space="preserve"> level </w:t>
      </w:r>
      <w:r w:rsidRPr="00180F33">
        <w:rPr>
          <w:lang w:val="en-US"/>
        </w:rPr>
        <w:t>is</w:t>
      </w:r>
      <w:r w:rsidRPr="00180F33">
        <w:rPr>
          <w:lang w:val="en-US"/>
        </w:rPr>
        <w:t xml:space="preserve"> 3dB</w:t>
      </w:r>
      <w:r w:rsidRPr="00180F33">
        <w:rPr>
          <w:lang w:val="en-US"/>
        </w:rPr>
        <w:t xml:space="preserve"> lower</w:t>
      </w:r>
      <w:r w:rsidRPr="00180F33">
        <w:rPr>
          <w:lang w:val="en-US"/>
        </w:rPr>
        <w:t xml:space="preserve">.  So </w:t>
      </w:r>
      <w:r w:rsidRPr="00180F33">
        <w:rPr>
          <w:lang w:val="en-US"/>
        </w:rPr>
        <w:t xml:space="preserve">for the </w:t>
      </w:r>
      <w:r w:rsidRPr="00180F33">
        <w:rPr>
          <w:lang w:val="en-US"/>
        </w:rPr>
        <w:t xml:space="preserve">identical LAA interference limited sensitivity, MSD is consequently 3dB higher for 10MHz vs 20MHz LAA.  </w:t>
      </w:r>
    </w:p>
    <w:p w14:paraId="0B59EF12" w14:textId="25D22D69" w:rsidR="00180F33" w:rsidRDefault="00180F33" w:rsidP="00BA4F33">
      <w:pPr>
        <w:pStyle w:val="ListParagraph"/>
        <w:numPr>
          <w:ilvl w:val="0"/>
          <w:numId w:val="47"/>
        </w:numPr>
        <w:jc w:val="both"/>
        <w:rPr>
          <w:lang w:val="en-US"/>
        </w:rPr>
      </w:pPr>
      <w:r w:rsidRPr="00180F33">
        <w:rPr>
          <w:lang w:val="en-US"/>
        </w:rPr>
        <w:t>Given the previous bullet</w:t>
      </w:r>
      <w:r w:rsidRPr="00180F33">
        <w:rPr>
          <w:lang w:val="en-US"/>
        </w:rPr>
        <w:t xml:space="preserve">, the required side-lobe rejection is 3dB higher for zero MSD for 10MHz LAA vs 20MHz LAA.  </w:t>
      </w:r>
    </w:p>
    <w:p w14:paraId="08C6C71E" w14:textId="1A985D33" w:rsidR="00180F33" w:rsidRDefault="00180F33" w:rsidP="003F44FC">
      <w:pPr>
        <w:pStyle w:val="ListParagraph"/>
        <w:numPr>
          <w:ilvl w:val="0"/>
          <w:numId w:val="47"/>
        </w:numPr>
        <w:jc w:val="both"/>
        <w:rPr>
          <w:lang w:val="en-US"/>
        </w:rPr>
      </w:pPr>
      <w:r>
        <w:rPr>
          <w:lang w:val="en-US"/>
        </w:rPr>
        <w:t>However the final exclusion region depends on the</w:t>
      </w:r>
      <w:r w:rsidRPr="00180F33">
        <w:rPr>
          <w:lang w:val="en-US"/>
        </w:rPr>
        <w:t xml:space="preserve"> delta </w:t>
      </w:r>
      <w:r>
        <w:rPr>
          <w:lang w:val="en-US"/>
        </w:rPr>
        <w:t>of</w:t>
      </w:r>
      <w:r w:rsidRPr="00180F33">
        <w:rPr>
          <w:lang w:val="en-US"/>
        </w:rPr>
        <w:t xml:space="preserve"> integrating over 10MHz channel vs 20MHz</w:t>
      </w:r>
      <w:r>
        <w:rPr>
          <w:lang w:val="en-US"/>
        </w:rPr>
        <w:t xml:space="preserve"> and it depends on the harmonics spectrum skirt.</w:t>
      </w:r>
    </w:p>
    <w:p w14:paraId="4879D93D" w14:textId="702CBF9C" w:rsidR="00180F33" w:rsidRPr="00180F33" w:rsidRDefault="00180F33" w:rsidP="00180F33">
      <w:pPr>
        <w:pStyle w:val="Heading2"/>
        <w:numPr>
          <w:ilvl w:val="0"/>
          <w:numId w:val="0"/>
        </w:numPr>
        <w:jc w:val="both"/>
        <w:rPr>
          <w:rFonts w:ascii="Times New Roman" w:hAnsi="Times New Roman"/>
          <w:sz w:val="20"/>
          <w:lang w:val="en-US"/>
        </w:rPr>
      </w:pPr>
      <w:r w:rsidRPr="00180F33">
        <w:rPr>
          <w:rFonts w:ascii="Times New Roman" w:hAnsi="Times New Roman"/>
          <w:sz w:val="20"/>
          <w:lang w:val="en-US"/>
        </w:rPr>
        <w:t xml:space="preserve">This </w:t>
      </w:r>
      <w:r>
        <w:rPr>
          <w:rFonts w:ascii="Times New Roman" w:hAnsi="Times New Roman"/>
          <w:sz w:val="20"/>
          <w:lang w:val="en-US"/>
        </w:rPr>
        <w:t xml:space="preserve">are only generic observations and a careful analysis is needed, we invite companies to contribute to this topic. </w:t>
      </w:r>
    </w:p>
    <w:p w14:paraId="1019740B" w14:textId="772C18BF" w:rsidR="003632C9" w:rsidRDefault="00EA4D67" w:rsidP="003632C9">
      <w:pPr>
        <w:pStyle w:val="Heading2"/>
        <w:jc w:val="both"/>
        <w:rPr>
          <w:lang w:val="en-US"/>
        </w:rPr>
      </w:pPr>
      <w:r>
        <w:rPr>
          <w:lang w:val="en-US"/>
        </w:rPr>
        <w:t xml:space="preserve">Analysis of B46 10MHz channel </w:t>
      </w:r>
      <w:r w:rsidR="00441696">
        <w:rPr>
          <w:lang w:val="en-US"/>
        </w:rPr>
        <w:t>MSD</w:t>
      </w:r>
      <w:r>
        <w:rPr>
          <w:lang w:val="en-US"/>
        </w:rPr>
        <w:t xml:space="preserve"> in </w:t>
      </w:r>
      <w:r w:rsidR="003632C9">
        <w:rPr>
          <w:lang w:val="en-US"/>
        </w:rPr>
        <w:t>B42+B46</w:t>
      </w:r>
    </w:p>
    <w:p w14:paraId="0C19F1E6" w14:textId="70C8D4DB" w:rsidR="003632C9" w:rsidRDefault="00441696" w:rsidP="003632C9">
      <w:pPr>
        <w:jc w:val="both"/>
        <w:rPr>
          <w:lang w:val="en-US"/>
        </w:rPr>
      </w:pPr>
      <w:r w:rsidRPr="00441696">
        <w:rPr>
          <w:lang w:val="en-US"/>
        </w:rPr>
        <w:t>A</w:t>
      </w:r>
      <w:r>
        <w:rPr>
          <w:lang w:val="en-US"/>
        </w:rPr>
        <w:t xml:space="preserve">s already mentioned, the REFSENSE value for B42+B46 case was approved in RAN4 #80. The value of -83dBm, corresponding to an MSD of 7dB, was obtained by considering the contributions in </w:t>
      </w:r>
      <w:r>
        <w:rPr>
          <w:lang w:val="en-US"/>
        </w:rPr>
        <w:fldChar w:fldCharType="begin"/>
      </w:r>
      <w:r>
        <w:rPr>
          <w:lang w:val="en-US"/>
        </w:rPr>
        <w:instrText xml:space="preserve"> REF _Ref462849414 \r \h </w:instrText>
      </w:r>
      <w:r>
        <w:rPr>
          <w:lang w:val="en-US"/>
        </w:rPr>
      </w:r>
      <w:r>
        <w:rPr>
          <w:lang w:val="en-US"/>
        </w:rPr>
        <w:fldChar w:fldCharType="separate"/>
      </w:r>
      <w:r w:rsidR="004E2728">
        <w:rPr>
          <w:lang w:val="en-US"/>
        </w:rPr>
        <w:t>[8]</w:t>
      </w:r>
      <w:r>
        <w:rPr>
          <w:lang w:val="en-US"/>
        </w:rPr>
        <w:fldChar w:fldCharType="end"/>
      </w:r>
      <w:r>
        <w:rPr>
          <w:lang w:val="en-US"/>
        </w:rPr>
        <w:t xml:space="preserve"> and </w:t>
      </w:r>
      <w:r>
        <w:rPr>
          <w:lang w:val="en-US"/>
        </w:rPr>
        <w:fldChar w:fldCharType="begin"/>
      </w:r>
      <w:r>
        <w:rPr>
          <w:lang w:val="en-US"/>
        </w:rPr>
        <w:instrText xml:space="preserve"> REF _Ref462849416 \r \h </w:instrText>
      </w:r>
      <w:r>
        <w:rPr>
          <w:lang w:val="en-US"/>
        </w:rPr>
      </w:r>
      <w:r>
        <w:rPr>
          <w:lang w:val="en-US"/>
        </w:rPr>
        <w:fldChar w:fldCharType="separate"/>
      </w:r>
      <w:r w:rsidR="004E2728">
        <w:rPr>
          <w:lang w:val="en-US"/>
        </w:rPr>
        <w:t>[9]</w:t>
      </w:r>
      <w:r>
        <w:rPr>
          <w:lang w:val="en-US"/>
        </w:rPr>
        <w:fldChar w:fldCharType="end"/>
      </w:r>
      <w:r>
        <w:rPr>
          <w:lang w:val="en-US"/>
        </w:rPr>
        <w:t xml:space="preserve">.  </w:t>
      </w:r>
    </w:p>
    <w:p w14:paraId="639ABD8F" w14:textId="548F3583" w:rsidR="00441696" w:rsidRDefault="00120A88" w:rsidP="003632C9">
      <w:pPr>
        <w:jc w:val="both"/>
        <w:rPr>
          <w:lang w:val="en-US"/>
        </w:rPr>
      </w:pPr>
      <w:r>
        <w:rPr>
          <w:lang w:val="en-US"/>
        </w:rPr>
        <w:t xml:space="preserve">Below we report the main assumptions we used in the analysis in </w:t>
      </w:r>
      <w:r>
        <w:rPr>
          <w:lang w:val="en-US"/>
        </w:rPr>
        <w:fldChar w:fldCharType="begin"/>
      </w:r>
      <w:r>
        <w:rPr>
          <w:lang w:val="en-US"/>
        </w:rPr>
        <w:instrText xml:space="preserve"> REF _Ref462849414 \r \h </w:instrText>
      </w:r>
      <w:r>
        <w:rPr>
          <w:lang w:val="en-US"/>
        </w:rPr>
      </w:r>
      <w:r>
        <w:rPr>
          <w:lang w:val="en-US"/>
        </w:rPr>
        <w:fldChar w:fldCharType="separate"/>
      </w:r>
      <w:r w:rsidR="004E2728">
        <w:rPr>
          <w:lang w:val="en-US"/>
        </w:rPr>
        <w:t>[8]</w:t>
      </w:r>
      <w:r>
        <w:rPr>
          <w:lang w:val="en-US"/>
        </w:rPr>
        <w:fldChar w:fldCharType="end"/>
      </w:r>
      <w:r>
        <w:rPr>
          <w:lang w:val="en-US"/>
        </w:rPr>
        <w:t>.</w:t>
      </w:r>
    </w:p>
    <w:p w14:paraId="161D47C3" w14:textId="77777777" w:rsidR="00120A88" w:rsidRDefault="00120A88" w:rsidP="00120A88">
      <w:pPr>
        <w:pStyle w:val="Caption"/>
        <w:keepNext/>
        <w:jc w:val="center"/>
      </w:pPr>
      <w:bookmarkStart w:id="2" w:name="_Ref447127074"/>
      <w:r>
        <w:lastRenderedPageBreak/>
        <w:t xml:space="preserve">Table </w:t>
      </w:r>
      <w:r>
        <w:fldChar w:fldCharType="begin"/>
      </w:r>
      <w:r>
        <w:instrText xml:space="preserve"> SEQ Table \* ARABIC </w:instrText>
      </w:r>
      <w:r>
        <w:fldChar w:fldCharType="separate"/>
      </w:r>
      <w:r w:rsidR="004E2728">
        <w:rPr>
          <w:noProof/>
        </w:rPr>
        <w:t>2</w:t>
      </w:r>
      <w:r>
        <w:fldChar w:fldCharType="end"/>
      </w:r>
      <w:bookmarkEnd w:id="2"/>
      <w:r>
        <w:t>. B42+B46 diplexer from different vendors.</w:t>
      </w:r>
    </w:p>
    <w:tbl>
      <w:tblPr>
        <w:tblW w:w="6758" w:type="dxa"/>
        <w:jc w:val="center"/>
        <w:tblLook w:val="0420" w:firstRow="1" w:lastRow="0" w:firstColumn="0" w:lastColumn="0" w:noHBand="0" w:noVBand="1"/>
      </w:tblPr>
      <w:tblGrid>
        <w:gridCol w:w="1620"/>
        <w:gridCol w:w="840"/>
        <w:gridCol w:w="1230"/>
        <w:gridCol w:w="1170"/>
        <w:gridCol w:w="1170"/>
        <w:gridCol w:w="728"/>
      </w:tblGrid>
      <w:tr w:rsidR="00120A88" w:rsidRPr="006350BD" w14:paraId="4C05F8F8" w14:textId="77777777" w:rsidTr="004F61BE">
        <w:trPr>
          <w:trHeight w:val="276"/>
          <w:jc w:val="center"/>
        </w:trPr>
        <w:tc>
          <w:tcPr>
            <w:tcW w:w="1620" w:type="dxa"/>
            <w:tcBorders>
              <w:top w:val="nil"/>
              <w:left w:val="nil"/>
              <w:bottom w:val="nil"/>
              <w:right w:val="nil"/>
            </w:tcBorders>
            <w:shd w:val="clear" w:color="auto" w:fill="auto"/>
            <w:noWrap/>
            <w:vAlign w:val="bottom"/>
            <w:hideMark/>
          </w:tcPr>
          <w:p w14:paraId="7C56C805" w14:textId="77777777" w:rsidR="00120A88" w:rsidRPr="00D62F1C" w:rsidRDefault="00120A88" w:rsidP="004F61BE">
            <w:pPr>
              <w:spacing w:after="0"/>
              <w:rPr>
                <w:sz w:val="18"/>
                <w:szCs w:val="24"/>
                <w:lang w:val="en-US"/>
              </w:rPr>
            </w:pPr>
          </w:p>
        </w:tc>
        <w:tc>
          <w:tcPr>
            <w:tcW w:w="840" w:type="dxa"/>
            <w:tcBorders>
              <w:top w:val="nil"/>
              <w:left w:val="nil"/>
              <w:bottom w:val="nil"/>
              <w:right w:val="nil"/>
            </w:tcBorders>
            <w:shd w:val="clear" w:color="auto" w:fill="auto"/>
            <w:noWrap/>
            <w:vAlign w:val="bottom"/>
            <w:hideMark/>
          </w:tcPr>
          <w:p w14:paraId="28447342" w14:textId="77777777" w:rsidR="00120A88" w:rsidRPr="00D62F1C" w:rsidRDefault="00120A88" w:rsidP="004F61BE">
            <w:pPr>
              <w:spacing w:after="0"/>
              <w:rPr>
                <w:sz w:val="18"/>
                <w:lang w:val="en-US"/>
              </w:rPr>
            </w:pPr>
          </w:p>
        </w:tc>
        <w:tc>
          <w:tcPr>
            <w:tcW w:w="1230" w:type="dxa"/>
            <w:tcBorders>
              <w:top w:val="single" w:sz="8" w:space="0" w:color="auto"/>
              <w:left w:val="single" w:sz="8" w:space="0" w:color="auto"/>
              <w:bottom w:val="nil"/>
              <w:right w:val="nil"/>
            </w:tcBorders>
            <w:shd w:val="clear" w:color="auto" w:fill="auto"/>
            <w:noWrap/>
            <w:vAlign w:val="bottom"/>
            <w:hideMark/>
          </w:tcPr>
          <w:p w14:paraId="6506862A" w14:textId="77777777" w:rsidR="00120A88" w:rsidRPr="00D62F1C" w:rsidRDefault="00120A88" w:rsidP="004F61BE">
            <w:pPr>
              <w:spacing w:after="0"/>
              <w:rPr>
                <w:rFonts w:ascii="Arial" w:hAnsi="Arial" w:cs="Arial"/>
                <w:b/>
                <w:bCs/>
                <w:sz w:val="18"/>
                <w:lang w:val="en-US"/>
              </w:rPr>
            </w:pPr>
            <w:r w:rsidRPr="00D62F1C">
              <w:rPr>
                <w:rFonts w:ascii="Arial" w:hAnsi="Arial" w:cs="Arial"/>
                <w:b/>
                <w:bCs/>
                <w:sz w:val="18"/>
                <w:lang w:val="en-US"/>
              </w:rPr>
              <w:t>Vendor A</w:t>
            </w:r>
          </w:p>
        </w:tc>
        <w:tc>
          <w:tcPr>
            <w:tcW w:w="1170" w:type="dxa"/>
            <w:tcBorders>
              <w:top w:val="single" w:sz="8" w:space="0" w:color="auto"/>
              <w:left w:val="nil"/>
              <w:bottom w:val="nil"/>
              <w:right w:val="nil"/>
            </w:tcBorders>
            <w:shd w:val="clear" w:color="auto" w:fill="auto"/>
            <w:noWrap/>
            <w:vAlign w:val="bottom"/>
            <w:hideMark/>
          </w:tcPr>
          <w:p w14:paraId="4655D545" w14:textId="77777777" w:rsidR="00120A88" w:rsidRPr="00D62F1C" w:rsidRDefault="00120A88" w:rsidP="004F61BE">
            <w:pPr>
              <w:spacing w:after="0"/>
              <w:rPr>
                <w:rFonts w:ascii="Arial" w:hAnsi="Arial" w:cs="Arial"/>
                <w:b/>
                <w:bCs/>
                <w:sz w:val="18"/>
                <w:lang w:val="en-US"/>
              </w:rPr>
            </w:pPr>
            <w:r w:rsidRPr="00D62F1C">
              <w:rPr>
                <w:rFonts w:ascii="Arial" w:hAnsi="Arial" w:cs="Arial"/>
                <w:b/>
                <w:bCs/>
                <w:sz w:val="18"/>
                <w:lang w:val="en-US"/>
              </w:rPr>
              <w:t>Vendor B</w:t>
            </w:r>
          </w:p>
        </w:tc>
        <w:tc>
          <w:tcPr>
            <w:tcW w:w="1170" w:type="dxa"/>
            <w:tcBorders>
              <w:top w:val="single" w:sz="8" w:space="0" w:color="auto"/>
              <w:left w:val="nil"/>
              <w:bottom w:val="nil"/>
              <w:right w:val="single" w:sz="8" w:space="0" w:color="auto"/>
            </w:tcBorders>
            <w:shd w:val="clear" w:color="auto" w:fill="auto"/>
            <w:noWrap/>
            <w:vAlign w:val="bottom"/>
            <w:hideMark/>
          </w:tcPr>
          <w:p w14:paraId="65E39400" w14:textId="77777777" w:rsidR="00120A88" w:rsidRPr="00D62F1C" w:rsidRDefault="00120A88" w:rsidP="004F61BE">
            <w:pPr>
              <w:spacing w:after="0"/>
              <w:rPr>
                <w:rFonts w:ascii="Arial" w:hAnsi="Arial" w:cs="Arial"/>
                <w:b/>
                <w:bCs/>
                <w:sz w:val="18"/>
                <w:lang w:val="en-US"/>
              </w:rPr>
            </w:pPr>
            <w:r w:rsidRPr="00D62F1C">
              <w:rPr>
                <w:rFonts w:ascii="Arial" w:hAnsi="Arial" w:cs="Arial"/>
                <w:b/>
                <w:bCs/>
                <w:sz w:val="18"/>
                <w:lang w:val="en-US"/>
              </w:rPr>
              <w:t>Vendor C</w:t>
            </w:r>
          </w:p>
        </w:tc>
        <w:tc>
          <w:tcPr>
            <w:tcW w:w="728" w:type="dxa"/>
            <w:tcBorders>
              <w:top w:val="single" w:sz="8" w:space="0" w:color="auto"/>
              <w:left w:val="nil"/>
              <w:bottom w:val="nil"/>
              <w:right w:val="single" w:sz="8" w:space="0" w:color="auto"/>
            </w:tcBorders>
            <w:shd w:val="clear" w:color="auto" w:fill="auto"/>
            <w:noWrap/>
            <w:vAlign w:val="center"/>
            <w:hideMark/>
          </w:tcPr>
          <w:p w14:paraId="66B1BF54" w14:textId="77777777" w:rsidR="00120A88" w:rsidRPr="00D62F1C" w:rsidRDefault="00120A88" w:rsidP="004F61BE">
            <w:pPr>
              <w:spacing w:after="0"/>
              <w:jc w:val="center"/>
              <w:rPr>
                <w:rFonts w:ascii="Arial" w:hAnsi="Arial" w:cs="Arial"/>
                <w:b/>
                <w:bCs/>
                <w:sz w:val="18"/>
                <w:lang w:val="en-US"/>
              </w:rPr>
            </w:pPr>
            <w:r w:rsidRPr="00D62F1C">
              <w:rPr>
                <w:rFonts w:ascii="Arial" w:hAnsi="Arial" w:cs="Arial"/>
                <w:b/>
                <w:bCs/>
                <w:sz w:val="18"/>
                <w:lang w:val="en-US"/>
              </w:rPr>
              <w:t>Mean</w:t>
            </w:r>
          </w:p>
        </w:tc>
      </w:tr>
      <w:tr w:rsidR="00120A88" w:rsidRPr="006350BD" w14:paraId="53E0B045" w14:textId="77777777" w:rsidTr="004F61BE">
        <w:trPr>
          <w:trHeight w:val="264"/>
          <w:jc w:val="center"/>
        </w:trPr>
        <w:tc>
          <w:tcPr>
            <w:tcW w:w="16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C2D1AD0" w14:textId="77777777" w:rsidR="00120A88" w:rsidRPr="00D62F1C" w:rsidRDefault="00120A88" w:rsidP="004F61BE">
            <w:pPr>
              <w:spacing w:after="0"/>
              <w:jc w:val="center"/>
              <w:rPr>
                <w:rFonts w:ascii="Arial" w:hAnsi="Arial" w:cs="Arial"/>
                <w:b/>
                <w:bCs/>
                <w:sz w:val="18"/>
                <w:lang w:val="en-US"/>
              </w:rPr>
            </w:pPr>
            <w:r w:rsidRPr="00D62F1C">
              <w:rPr>
                <w:rFonts w:ascii="Arial" w:hAnsi="Arial" w:cs="Arial"/>
                <w:b/>
                <w:bCs/>
                <w:sz w:val="18"/>
                <w:lang w:val="en-US"/>
              </w:rPr>
              <w:t>IL [dB]</w:t>
            </w:r>
          </w:p>
        </w:tc>
        <w:tc>
          <w:tcPr>
            <w:tcW w:w="840" w:type="dxa"/>
            <w:tcBorders>
              <w:top w:val="single" w:sz="8" w:space="0" w:color="auto"/>
              <w:left w:val="nil"/>
              <w:bottom w:val="nil"/>
              <w:right w:val="nil"/>
            </w:tcBorders>
            <w:shd w:val="clear" w:color="auto" w:fill="auto"/>
            <w:noWrap/>
            <w:vAlign w:val="bottom"/>
            <w:hideMark/>
          </w:tcPr>
          <w:p w14:paraId="096A5371"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B42</w:t>
            </w:r>
          </w:p>
        </w:tc>
        <w:tc>
          <w:tcPr>
            <w:tcW w:w="1230" w:type="dxa"/>
            <w:tcBorders>
              <w:top w:val="single" w:sz="8" w:space="0" w:color="auto"/>
              <w:left w:val="single" w:sz="8" w:space="0" w:color="auto"/>
              <w:bottom w:val="nil"/>
              <w:right w:val="nil"/>
            </w:tcBorders>
            <w:shd w:val="clear" w:color="auto" w:fill="auto"/>
            <w:noWrap/>
            <w:vAlign w:val="bottom"/>
            <w:hideMark/>
          </w:tcPr>
          <w:p w14:paraId="4F0FBA2A"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0.6</w:t>
            </w:r>
          </w:p>
        </w:tc>
        <w:tc>
          <w:tcPr>
            <w:tcW w:w="1170" w:type="dxa"/>
            <w:tcBorders>
              <w:top w:val="single" w:sz="8" w:space="0" w:color="auto"/>
              <w:left w:val="nil"/>
              <w:bottom w:val="nil"/>
              <w:right w:val="nil"/>
            </w:tcBorders>
            <w:shd w:val="clear" w:color="auto" w:fill="auto"/>
            <w:noWrap/>
            <w:vAlign w:val="bottom"/>
            <w:hideMark/>
          </w:tcPr>
          <w:p w14:paraId="2965CC3A"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1.1</w:t>
            </w:r>
          </w:p>
        </w:tc>
        <w:tc>
          <w:tcPr>
            <w:tcW w:w="1170" w:type="dxa"/>
            <w:tcBorders>
              <w:top w:val="single" w:sz="8" w:space="0" w:color="auto"/>
              <w:left w:val="nil"/>
              <w:bottom w:val="nil"/>
              <w:right w:val="single" w:sz="8" w:space="0" w:color="auto"/>
            </w:tcBorders>
            <w:shd w:val="clear" w:color="auto" w:fill="auto"/>
            <w:noWrap/>
            <w:vAlign w:val="bottom"/>
            <w:hideMark/>
          </w:tcPr>
          <w:p w14:paraId="4158A749"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1.1</w:t>
            </w:r>
          </w:p>
        </w:tc>
        <w:tc>
          <w:tcPr>
            <w:tcW w:w="728" w:type="dxa"/>
            <w:tcBorders>
              <w:top w:val="single" w:sz="8" w:space="0" w:color="auto"/>
              <w:left w:val="nil"/>
              <w:bottom w:val="nil"/>
              <w:right w:val="single" w:sz="8" w:space="0" w:color="auto"/>
            </w:tcBorders>
            <w:shd w:val="clear" w:color="auto" w:fill="auto"/>
            <w:noWrap/>
            <w:vAlign w:val="center"/>
            <w:hideMark/>
          </w:tcPr>
          <w:p w14:paraId="011669AD"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0.9</w:t>
            </w:r>
          </w:p>
        </w:tc>
      </w:tr>
      <w:tr w:rsidR="00120A88" w:rsidRPr="006350BD" w14:paraId="65E1B8F8" w14:textId="77777777" w:rsidTr="004F61BE">
        <w:trPr>
          <w:trHeight w:val="276"/>
          <w:jc w:val="center"/>
        </w:trPr>
        <w:tc>
          <w:tcPr>
            <w:tcW w:w="1620" w:type="dxa"/>
            <w:vMerge/>
            <w:tcBorders>
              <w:top w:val="single" w:sz="8" w:space="0" w:color="auto"/>
              <w:left w:val="single" w:sz="8" w:space="0" w:color="auto"/>
              <w:bottom w:val="single" w:sz="8" w:space="0" w:color="000000"/>
              <w:right w:val="single" w:sz="8" w:space="0" w:color="auto"/>
            </w:tcBorders>
            <w:vAlign w:val="center"/>
            <w:hideMark/>
          </w:tcPr>
          <w:p w14:paraId="6DD7172A" w14:textId="77777777" w:rsidR="00120A88" w:rsidRPr="00D62F1C" w:rsidRDefault="00120A88" w:rsidP="004F61BE">
            <w:pPr>
              <w:spacing w:after="0"/>
              <w:rPr>
                <w:rFonts w:ascii="Arial" w:hAnsi="Arial" w:cs="Arial"/>
                <w:b/>
                <w:bCs/>
                <w:sz w:val="18"/>
                <w:lang w:val="en-US"/>
              </w:rPr>
            </w:pPr>
          </w:p>
        </w:tc>
        <w:tc>
          <w:tcPr>
            <w:tcW w:w="840" w:type="dxa"/>
            <w:tcBorders>
              <w:top w:val="nil"/>
              <w:left w:val="nil"/>
              <w:bottom w:val="single" w:sz="8" w:space="0" w:color="auto"/>
              <w:right w:val="nil"/>
            </w:tcBorders>
            <w:shd w:val="clear" w:color="auto" w:fill="auto"/>
            <w:noWrap/>
            <w:vAlign w:val="bottom"/>
            <w:hideMark/>
          </w:tcPr>
          <w:p w14:paraId="6FA0923A"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B46</w:t>
            </w:r>
          </w:p>
        </w:tc>
        <w:tc>
          <w:tcPr>
            <w:tcW w:w="1230" w:type="dxa"/>
            <w:tcBorders>
              <w:top w:val="nil"/>
              <w:left w:val="single" w:sz="8" w:space="0" w:color="auto"/>
              <w:bottom w:val="single" w:sz="8" w:space="0" w:color="auto"/>
              <w:right w:val="nil"/>
            </w:tcBorders>
            <w:shd w:val="clear" w:color="auto" w:fill="auto"/>
            <w:noWrap/>
            <w:vAlign w:val="bottom"/>
            <w:hideMark/>
          </w:tcPr>
          <w:p w14:paraId="7E16B187"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0.9</w:t>
            </w:r>
          </w:p>
        </w:tc>
        <w:tc>
          <w:tcPr>
            <w:tcW w:w="1170" w:type="dxa"/>
            <w:tcBorders>
              <w:top w:val="nil"/>
              <w:left w:val="nil"/>
              <w:bottom w:val="single" w:sz="8" w:space="0" w:color="auto"/>
              <w:right w:val="nil"/>
            </w:tcBorders>
            <w:shd w:val="clear" w:color="auto" w:fill="auto"/>
            <w:noWrap/>
            <w:vAlign w:val="bottom"/>
            <w:hideMark/>
          </w:tcPr>
          <w:p w14:paraId="47A58EFD"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1.1</w:t>
            </w:r>
          </w:p>
        </w:tc>
        <w:tc>
          <w:tcPr>
            <w:tcW w:w="1170" w:type="dxa"/>
            <w:tcBorders>
              <w:top w:val="nil"/>
              <w:left w:val="nil"/>
              <w:bottom w:val="single" w:sz="8" w:space="0" w:color="auto"/>
              <w:right w:val="single" w:sz="8" w:space="0" w:color="auto"/>
            </w:tcBorders>
            <w:shd w:val="clear" w:color="auto" w:fill="auto"/>
            <w:noWrap/>
            <w:vAlign w:val="bottom"/>
            <w:hideMark/>
          </w:tcPr>
          <w:p w14:paraId="356B5EFF"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1.2</w:t>
            </w:r>
          </w:p>
        </w:tc>
        <w:tc>
          <w:tcPr>
            <w:tcW w:w="728" w:type="dxa"/>
            <w:tcBorders>
              <w:top w:val="nil"/>
              <w:left w:val="nil"/>
              <w:bottom w:val="single" w:sz="8" w:space="0" w:color="auto"/>
              <w:right w:val="single" w:sz="8" w:space="0" w:color="auto"/>
            </w:tcBorders>
            <w:shd w:val="clear" w:color="auto" w:fill="auto"/>
            <w:noWrap/>
            <w:vAlign w:val="center"/>
            <w:hideMark/>
          </w:tcPr>
          <w:p w14:paraId="7328235E"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1.1</w:t>
            </w:r>
          </w:p>
        </w:tc>
      </w:tr>
      <w:tr w:rsidR="00120A88" w:rsidRPr="006350BD" w14:paraId="3541D0DC" w14:textId="77777777" w:rsidTr="004F61BE">
        <w:trPr>
          <w:trHeight w:val="264"/>
          <w:jc w:val="center"/>
        </w:trPr>
        <w:tc>
          <w:tcPr>
            <w:tcW w:w="16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F81EA9F" w14:textId="77777777" w:rsidR="00120A88" w:rsidRPr="00D62F1C" w:rsidRDefault="00120A88" w:rsidP="004F61BE">
            <w:pPr>
              <w:spacing w:after="0"/>
              <w:jc w:val="center"/>
              <w:rPr>
                <w:rFonts w:ascii="Arial" w:hAnsi="Arial" w:cs="Arial"/>
                <w:b/>
                <w:bCs/>
                <w:sz w:val="18"/>
                <w:lang w:val="en-US"/>
              </w:rPr>
            </w:pPr>
            <w:r w:rsidRPr="00D62F1C">
              <w:rPr>
                <w:rFonts w:ascii="Arial" w:hAnsi="Arial" w:cs="Arial"/>
                <w:b/>
                <w:bCs/>
                <w:sz w:val="18"/>
                <w:lang w:val="en-US"/>
              </w:rPr>
              <w:t>Rejection [dB]</w:t>
            </w:r>
          </w:p>
        </w:tc>
        <w:tc>
          <w:tcPr>
            <w:tcW w:w="840" w:type="dxa"/>
            <w:tcBorders>
              <w:top w:val="nil"/>
              <w:left w:val="nil"/>
              <w:bottom w:val="nil"/>
              <w:right w:val="nil"/>
            </w:tcBorders>
            <w:shd w:val="clear" w:color="auto" w:fill="auto"/>
            <w:noWrap/>
            <w:vAlign w:val="bottom"/>
            <w:hideMark/>
          </w:tcPr>
          <w:p w14:paraId="56129826"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B42</w:t>
            </w:r>
          </w:p>
        </w:tc>
        <w:tc>
          <w:tcPr>
            <w:tcW w:w="1230" w:type="dxa"/>
            <w:tcBorders>
              <w:top w:val="nil"/>
              <w:left w:val="single" w:sz="8" w:space="0" w:color="auto"/>
              <w:bottom w:val="nil"/>
              <w:right w:val="nil"/>
            </w:tcBorders>
            <w:shd w:val="clear" w:color="auto" w:fill="auto"/>
            <w:noWrap/>
            <w:vAlign w:val="bottom"/>
            <w:hideMark/>
          </w:tcPr>
          <w:p w14:paraId="2263C119"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18</w:t>
            </w:r>
          </w:p>
        </w:tc>
        <w:tc>
          <w:tcPr>
            <w:tcW w:w="1170" w:type="dxa"/>
            <w:tcBorders>
              <w:top w:val="nil"/>
              <w:left w:val="nil"/>
              <w:bottom w:val="nil"/>
              <w:right w:val="nil"/>
            </w:tcBorders>
            <w:shd w:val="clear" w:color="auto" w:fill="auto"/>
            <w:noWrap/>
            <w:vAlign w:val="bottom"/>
            <w:hideMark/>
          </w:tcPr>
          <w:p w14:paraId="67F3A702"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25</w:t>
            </w:r>
          </w:p>
        </w:tc>
        <w:tc>
          <w:tcPr>
            <w:tcW w:w="1170" w:type="dxa"/>
            <w:tcBorders>
              <w:top w:val="nil"/>
              <w:left w:val="nil"/>
              <w:bottom w:val="nil"/>
              <w:right w:val="single" w:sz="8" w:space="0" w:color="auto"/>
            </w:tcBorders>
            <w:shd w:val="clear" w:color="auto" w:fill="auto"/>
            <w:noWrap/>
            <w:vAlign w:val="bottom"/>
            <w:hideMark/>
          </w:tcPr>
          <w:p w14:paraId="095AEA25"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30</w:t>
            </w:r>
          </w:p>
        </w:tc>
        <w:tc>
          <w:tcPr>
            <w:tcW w:w="728" w:type="dxa"/>
            <w:tcBorders>
              <w:top w:val="nil"/>
              <w:left w:val="nil"/>
              <w:bottom w:val="nil"/>
              <w:right w:val="single" w:sz="8" w:space="0" w:color="auto"/>
            </w:tcBorders>
            <w:shd w:val="clear" w:color="auto" w:fill="auto"/>
            <w:noWrap/>
            <w:vAlign w:val="center"/>
            <w:hideMark/>
          </w:tcPr>
          <w:p w14:paraId="7FD54EED"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24.3</w:t>
            </w:r>
          </w:p>
        </w:tc>
      </w:tr>
      <w:tr w:rsidR="00120A88" w:rsidRPr="006350BD" w14:paraId="0F929392" w14:textId="77777777" w:rsidTr="004F61BE">
        <w:trPr>
          <w:trHeight w:val="276"/>
          <w:jc w:val="center"/>
        </w:trPr>
        <w:tc>
          <w:tcPr>
            <w:tcW w:w="1620" w:type="dxa"/>
            <w:vMerge/>
            <w:tcBorders>
              <w:top w:val="nil"/>
              <w:left w:val="single" w:sz="8" w:space="0" w:color="auto"/>
              <w:bottom w:val="single" w:sz="8" w:space="0" w:color="000000"/>
              <w:right w:val="single" w:sz="8" w:space="0" w:color="auto"/>
            </w:tcBorders>
            <w:vAlign w:val="center"/>
            <w:hideMark/>
          </w:tcPr>
          <w:p w14:paraId="38F65E04" w14:textId="77777777" w:rsidR="00120A88" w:rsidRPr="00D62F1C" w:rsidRDefault="00120A88" w:rsidP="004F61BE">
            <w:pPr>
              <w:spacing w:after="0"/>
              <w:rPr>
                <w:rFonts w:ascii="Arial" w:hAnsi="Arial" w:cs="Arial"/>
                <w:b/>
                <w:bCs/>
                <w:sz w:val="18"/>
                <w:lang w:val="en-US"/>
              </w:rPr>
            </w:pPr>
          </w:p>
        </w:tc>
        <w:tc>
          <w:tcPr>
            <w:tcW w:w="840" w:type="dxa"/>
            <w:tcBorders>
              <w:top w:val="nil"/>
              <w:left w:val="nil"/>
              <w:bottom w:val="single" w:sz="8" w:space="0" w:color="auto"/>
              <w:right w:val="nil"/>
            </w:tcBorders>
            <w:shd w:val="clear" w:color="auto" w:fill="auto"/>
            <w:noWrap/>
            <w:vAlign w:val="bottom"/>
            <w:hideMark/>
          </w:tcPr>
          <w:p w14:paraId="5E818DFA"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B46</w:t>
            </w:r>
          </w:p>
        </w:tc>
        <w:tc>
          <w:tcPr>
            <w:tcW w:w="1230" w:type="dxa"/>
            <w:tcBorders>
              <w:top w:val="nil"/>
              <w:left w:val="single" w:sz="8" w:space="0" w:color="auto"/>
              <w:bottom w:val="single" w:sz="8" w:space="0" w:color="auto"/>
              <w:right w:val="nil"/>
            </w:tcBorders>
            <w:shd w:val="clear" w:color="auto" w:fill="auto"/>
            <w:noWrap/>
            <w:vAlign w:val="bottom"/>
            <w:hideMark/>
          </w:tcPr>
          <w:p w14:paraId="2B309773"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20</w:t>
            </w:r>
          </w:p>
        </w:tc>
        <w:tc>
          <w:tcPr>
            <w:tcW w:w="1170" w:type="dxa"/>
            <w:tcBorders>
              <w:top w:val="nil"/>
              <w:left w:val="nil"/>
              <w:bottom w:val="single" w:sz="8" w:space="0" w:color="auto"/>
              <w:right w:val="nil"/>
            </w:tcBorders>
            <w:shd w:val="clear" w:color="auto" w:fill="auto"/>
            <w:noWrap/>
            <w:vAlign w:val="bottom"/>
            <w:hideMark/>
          </w:tcPr>
          <w:p w14:paraId="022ED246"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25</w:t>
            </w:r>
          </w:p>
        </w:tc>
        <w:tc>
          <w:tcPr>
            <w:tcW w:w="1170" w:type="dxa"/>
            <w:tcBorders>
              <w:top w:val="nil"/>
              <w:left w:val="nil"/>
              <w:bottom w:val="single" w:sz="8" w:space="0" w:color="auto"/>
              <w:right w:val="single" w:sz="8" w:space="0" w:color="auto"/>
            </w:tcBorders>
            <w:shd w:val="clear" w:color="auto" w:fill="auto"/>
            <w:noWrap/>
            <w:vAlign w:val="bottom"/>
            <w:hideMark/>
          </w:tcPr>
          <w:p w14:paraId="59458372"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30</w:t>
            </w:r>
          </w:p>
        </w:tc>
        <w:tc>
          <w:tcPr>
            <w:tcW w:w="728" w:type="dxa"/>
            <w:tcBorders>
              <w:top w:val="nil"/>
              <w:left w:val="nil"/>
              <w:bottom w:val="single" w:sz="8" w:space="0" w:color="auto"/>
              <w:right w:val="single" w:sz="8" w:space="0" w:color="auto"/>
            </w:tcBorders>
            <w:shd w:val="clear" w:color="auto" w:fill="auto"/>
            <w:noWrap/>
            <w:vAlign w:val="center"/>
            <w:hideMark/>
          </w:tcPr>
          <w:p w14:paraId="5AD09936"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25.0</w:t>
            </w:r>
          </w:p>
        </w:tc>
      </w:tr>
    </w:tbl>
    <w:p w14:paraId="0534118C" w14:textId="77777777" w:rsidR="00120A88" w:rsidRPr="006350BD" w:rsidRDefault="00120A88" w:rsidP="00120A88"/>
    <w:p w14:paraId="5C8C86D4" w14:textId="22BE43BE" w:rsidR="00120A88" w:rsidRDefault="00120A88" w:rsidP="003632C9">
      <w:pPr>
        <w:jc w:val="both"/>
        <w:rPr>
          <w:lang w:val="en-US"/>
        </w:rPr>
      </w:pPr>
      <w:r>
        <w:rPr>
          <w:lang w:val="en-US"/>
        </w:rPr>
        <w:t>Additional filtering is needed at the cost of increasing IL. In our analysis we include a notch filter which can provide additional 10dB rejection with about 1.2dB additional insertion loss. This gives a total of about 35dB isolation cross isolation from B42 to B46. A noise figure of 14dB was used due to significant LNA gain compression cause by the low cross band ISO.</w:t>
      </w:r>
    </w:p>
    <w:p w14:paraId="78398EBC" w14:textId="77777777" w:rsidR="00120A88" w:rsidRDefault="00120A88" w:rsidP="00120A88">
      <w:pPr>
        <w:jc w:val="both"/>
        <w:rPr>
          <w:lang w:val="en-US"/>
        </w:rPr>
      </w:pPr>
      <w:r>
        <w:rPr>
          <w:lang w:val="en-US"/>
        </w:rPr>
        <w:t xml:space="preserve">The others main technical assumptions we adopted for MSD calculation are summarized in </w:t>
      </w:r>
      <w:r>
        <w:rPr>
          <w:lang w:val="en-US"/>
        </w:rPr>
        <w:fldChar w:fldCharType="begin"/>
      </w:r>
      <w:r>
        <w:rPr>
          <w:lang w:val="en-US"/>
        </w:rPr>
        <w:instrText xml:space="preserve"> REF _Ref447194690 \h </w:instrText>
      </w:r>
      <w:r>
        <w:rPr>
          <w:lang w:val="en-US"/>
        </w:rPr>
      </w:r>
      <w:r>
        <w:rPr>
          <w:lang w:val="en-US"/>
        </w:rPr>
        <w:fldChar w:fldCharType="separate"/>
      </w:r>
      <w:r w:rsidR="004E2728">
        <w:t xml:space="preserve">Table </w:t>
      </w:r>
      <w:r w:rsidR="004E2728">
        <w:rPr>
          <w:noProof/>
        </w:rPr>
        <w:t>3</w:t>
      </w:r>
      <w:r>
        <w:rPr>
          <w:lang w:val="en-US"/>
        </w:rPr>
        <w:fldChar w:fldCharType="end"/>
      </w:r>
      <w:r>
        <w:rPr>
          <w:lang w:val="en-US"/>
        </w:rPr>
        <w:t xml:space="preserve">. </w:t>
      </w:r>
    </w:p>
    <w:p w14:paraId="5325C3C6" w14:textId="77777777" w:rsidR="00120A88" w:rsidRDefault="00120A88" w:rsidP="00120A88">
      <w:pPr>
        <w:pStyle w:val="Caption"/>
        <w:keepNext/>
        <w:jc w:val="center"/>
      </w:pPr>
      <w:bookmarkStart w:id="3" w:name="_Ref447194690"/>
      <w:r>
        <w:t xml:space="preserve">Table </w:t>
      </w:r>
      <w:r>
        <w:fldChar w:fldCharType="begin"/>
      </w:r>
      <w:r>
        <w:instrText xml:space="preserve"> SEQ Table \* ARABIC </w:instrText>
      </w:r>
      <w:r>
        <w:fldChar w:fldCharType="separate"/>
      </w:r>
      <w:r w:rsidR="004E2728">
        <w:rPr>
          <w:noProof/>
        </w:rPr>
        <w:t>3</w:t>
      </w:r>
      <w:r>
        <w:fldChar w:fldCharType="end"/>
      </w:r>
      <w:bookmarkEnd w:id="3"/>
      <w:r>
        <w:t>. Main technical assumptions for MSD analysis.</w:t>
      </w:r>
    </w:p>
    <w:tbl>
      <w:tblPr>
        <w:tblW w:w="6380" w:type="dxa"/>
        <w:jc w:val="center"/>
        <w:tblLook w:val="0420" w:firstRow="1" w:lastRow="0" w:firstColumn="0" w:lastColumn="0" w:noHBand="0" w:noVBand="1"/>
      </w:tblPr>
      <w:tblGrid>
        <w:gridCol w:w="4560"/>
        <w:gridCol w:w="1820"/>
      </w:tblGrid>
      <w:tr w:rsidR="00120A88" w:rsidRPr="00712CD4" w14:paraId="6F3FCB83" w14:textId="77777777" w:rsidTr="004F61BE">
        <w:trPr>
          <w:trHeight w:val="276"/>
          <w:jc w:val="center"/>
        </w:trPr>
        <w:tc>
          <w:tcPr>
            <w:tcW w:w="63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AD457F9" w14:textId="77777777" w:rsidR="00120A88" w:rsidRPr="00D62F1C" w:rsidRDefault="00120A88" w:rsidP="004F61BE">
            <w:pPr>
              <w:spacing w:after="0"/>
              <w:jc w:val="center"/>
              <w:rPr>
                <w:rFonts w:ascii="Arial" w:hAnsi="Arial" w:cs="Arial"/>
                <w:b/>
                <w:bCs/>
                <w:sz w:val="18"/>
                <w:lang w:val="en-US"/>
              </w:rPr>
            </w:pPr>
            <w:r w:rsidRPr="00D62F1C">
              <w:rPr>
                <w:rFonts w:ascii="Arial" w:hAnsi="Arial" w:cs="Arial"/>
                <w:b/>
                <w:bCs/>
                <w:sz w:val="18"/>
                <w:lang w:val="en-US"/>
              </w:rPr>
              <w:t>Key technical assumptions for MSD analysis</w:t>
            </w:r>
          </w:p>
        </w:tc>
      </w:tr>
      <w:tr w:rsidR="00120A88" w:rsidRPr="00712CD4" w14:paraId="70812AA3" w14:textId="77777777" w:rsidTr="004F61BE">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7D6F5BB2" w14:textId="77777777" w:rsidR="00120A88" w:rsidRPr="00D62F1C" w:rsidRDefault="00120A88" w:rsidP="004F61BE">
            <w:pPr>
              <w:spacing w:after="0"/>
              <w:rPr>
                <w:rFonts w:ascii="Arial" w:hAnsi="Arial" w:cs="Arial"/>
                <w:sz w:val="18"/>
                <w:lang w:val="en-US"/>
              </w:rPr>
            </w:pPr>
            <w:r w:rsidRPr="00D62F1C">
              <w:rPr>
                <w:rFonts w:ascii="Arial" w:hAnsi="Arial" w:cs="Arial"/>
                <w:sz w:val="18"/>
                <w:lang w:val="en-US"/>
              </w:rPr>
              <w:t>Total B46 FE loss [dB]</w:t>
            </w:r>
          </w:p>
        </w:tc>
        <w:tc>
          <w:tcPr>
            <w:tcW w:w="1820" w:type="dxa"/>
            <w:tcBorders>
              <w:top w:val="nil"/>
              <w:left w:val="nil"/>
              <w:bottom w:val="nil"/>
              <w:right w:val="single" w:sz="8" w:space="0" w:color="auto"/>
            </w:tcBorders>
            <w:shd w:val="clear" w:color="auto" w:fill="auto"/>
            <w:noWrap/>
            <w:vAlign w:val="bottom"/>
            <w:hideMark/>
          </w:tcPr>
          <w:p w14:paraId="341DA64A"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5.5</w:t>
            </w:r>
          </w:p>
        </w:tc>
      </w:tr>
      <w:tr w:rsidR="00120A88" w:rsidRPr="00712CD4" w14:paraId="6C50C69C" w14:textId="77777777" w:rsidTr="004F61BE">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264DB38A" w14:textId="77777777" w:rsidR="00120A88" w:rsidRPr="00D62F1C" w:rsidRDefault="00120A88" w:rsidP="004F61BE">
            <w:pPr>
              <w:spacing w:after="0"/>
              <w:rPr>
                <w:rFonts w:ascii="Arial" w:hAnsi="Arial" w:cs="Arial"/>
                <w:sz w:val="18"/>
                <w:lang w:val="en-US"/>
              </w:rPr>
            </w:pPr>
            <w:r w:rsidRPr="00D62F1C">
              <w:rPr>
                <w:rFonts w:ascii="Arial" w:hAnsi="Arial" w:cs="Arial"/>
                <w:sz w:val="18"/>
                <w:lang w:val="en-US"/>
              </w:rPr>
              <w:t>Noise Figure [dB]</w:t>
            </w:r>
          </w:p>
        </w:tc>
        <w:tc>
          <w:tcPr>
            <w:tcW w:w="1820" w:type="dxa"/>
            <w:tcBorders>
              <w:top w:val="nil"/>
              <w:left w:val="nil"/>
              <w:bottom w:val="nil"/>
              <w:right w:val="single" w:sz="8" w:space="0" w:color="auto"/>
            </w:tcBorders>
            <w:shd w:val="clear" w:color="auto" w:fill="auto"/>
            <w:noWrap/>
            <w:vAlign w:val="bottom"/>
            <w:hideMark/>
          </w:tcPr>
          <w:p w14:paraId="0DED8695"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14</w:t>
            </w:r>
          </w:p>
        </w:tc>
      </w:tr>
      <w:tr w:rsidR="00120A88" w:rsidRPr="00712CD4" w14:paraId="6110DD99" w14:textId="77777777" w:rsidTr="004F61BE">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71E04F9F" w14:textId="77777777" w:rsidR="00120A88" w:rsidRPr="00D62F1C" w:rsidRDefault="00120A88" w:rsidP="004F61BE">
            <w:pPr>
              <w:spacing w:after="0"/>
              <w:rPr>
                <w:rFonts w:ascii="Arial" w:hAnsi="Arial" w:cs="Arial"/>
                <w:sz w:val="18"/>
                <w:lang w:val="en-US"/>
              </w:rPr>
            </w:pPr>
            <w:r w:rsidRPr="00D62F1C">
              <w:rPr>
                <w:rFonts w:ascii="Arial" w:hAnsi="Arial" w:cs="Arial"/>
                <w:sz w:val="18"/>
                <w:lang w:val="en-US"/>
              </w:rPr>
              <w:t>IP2 [dBm]</w:t>
            </w:r>
          </w:p>
        </w:tc>
        <w:tc>
          <w:tcPr>
            <w:tcW w:w="1820" w:type="dxa"/>
            <w:tcBorders>
              <w:top w:val="nil"/>
              <w:left w:val="nil"/>
              <w:bottom w:val="nil"/>
              <w:right w:val="single" w:sz="8" w:space="0" w:color="auto"/>
            </w:tcBorders>
            <w:shd w:val="clear" w:color="auto" w:fill="auto"/>
            <w:noWrap/>
            <w:vAlign w:val="bottom"/>
            <w:hideMark/>
          </w:tcPr>
          <w:p w14:paraId="455B77D4"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50</w:t>
            </w:r>
          </w:p>
        </w:tc>
      </w:tr>
      <w:tr w:rsidR="00120A88" w:rsidRPr="00712CD4" w14:paraId="5E1D3F04" w14:textId="77777777" w:rsidTr="004F61BE">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5F1231C3" w14:textId="77777777" w:rsidR="00120A88" w:rsidRPr="00D62F1C" w:rsidRDefault="00120A88" w:rsidP="004F61BE">
            <w:pPr>
              <w:spacing w:after="0"/>
              <w:rPr>
                <w:rFonts w:ascii="Arial" w:hAnsi="Arial" w:cs="Arial"/>
                <w:sz w:val="18"/>
                <w:lang w:val="en-US"/>
              </w:rPr>
            </w:pPr>
            <w:r w:rsidRPr="00D62F1C">
              <w:rPr>
                <w:rFonts w:ascii="Arial" w:hAnsi="Arial" w:cs="Arial"/>
                <w:sz w:val="18"/>
                <w:lang w:val="en-US"/>
              </w:rPr>
              <w:t>Rx LO phase noise [dBm/Hz]</w:t>
            </w:r>
          </w:p>
        </w:tc>
        <w:tc>
          <w:tcPr>
            <w:tcW w:w="1820" w:type="dxa"/>
            <w:tcBorders>
              <w:top w:val="nil"/>
              <w:left w:val="nil"/>
              <w:bottom w:val="nil"/>
              <w:right w:val="single" w:sz="8" w:space="0" w:color="auto"/>
            </w:tcBorders>
            <w:shd w:val="clear" w:color="auto" w:fill="auto"/>
            <w:noWrap/>
            <w:vAlign w:val="bottom"/>
            <w:hideMark/>
          </w:tcPr>
          <w:p w14:paraId="580BF75B"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-158</w:t>
            </w:r>
          </w:p>
        </w:tc>
      </w:tr>
      <w:tr w:rsidR="00120A88" w:rsidRPr="00712CD4" w14:paraId="144EC65C" w14:textId="77777777" w:rsidTr="004F61BE">
        <w:trPr>
          <w:trHeight w:val="276"/>
          <w:jc w:val="center"/>
        </w:trPr>
        <w:tc>
          <w:tcPr>
            <w:tcW w:w="4560" w:type="dxa"/>
            <w:tcBorders>
              <w:top w:val="nil"/>
              <w:left w:val="single" w:sz="8" w:space="0" w:color="auto"/>
              <w:bottom w:val="single" w:sz="8" w:space="0" w:color="auto"/>
              <w:right w:val="single" w:sz="8" w:space="0" w:color="auto"/>
            </w:tcBorders>
            <w:shd w:val="clear" w:color="auto" w:fill="auto"/>
            <w:noWrap/>
            <w:vAlign w:val="bottom"/>
            <w:hideMark/>
          </w:tcPr>
          <w:p w14:paraId="230757F1" w14:textId="77777777" w:rsidR="00120A88" w:rsidRPr="00D62F1C" w:rsidRDefault="00120A88" w:rsidP="004F61BE">
            <w:pPr>
              <w:spacing w:after="0"/>
              <w:rPr>
                <w:rFonts w:ascii="Arial" w:hAnsi="Arial" w:cs="Arial"/>
                <w:sz w:val="18"/>
                <w:lang w:val="en-US"/>
              </w:rPr>
            </w:pPr>
            <w:r w:rsidRPr="00D62F1C">
              <w:rPr>
                <w:rFonts w:ascii="Arial" w:hAnsi="Arial" w:cs="Arial"/>
                <w:sz w:val="18"/>
                <w:lang w:val="en-US"/>
              </w:rPr>
              <w:t>PA Rx band noise [dBm/Hz]</w:t>
            </w:r>
          </w:p>
        </w:tc>
        <w:tc>
          <w:tcPr>
            <w:tcW w:w="1820" w:type="dxa"/>
            <w:tcBorders>
              <w:top w:val="nil"/>
              <w:left w:val="nil"/>
              <w:bottom w:val="single" w:sz="8" w:space="0" w:color="auto"/>
              <w:right w:val="single" w:sz="8" w:space="0" w:color="auto"/>
            </w:tcBorders>
            <w:shd w:val="clear" w:color="auto" w:fill="auto"/>
            <w:noWrap/>
            <w:vAlign w:val="bottom"/>
            <w:hideMark/>
          </w:tcPr>
          <w:p w14:paraId="6BC58A12" w14:textId="77777777" w:rsidR="00120A88" w:rsidRPr="00D62F1C" w:rsidRDefault="00120A88" w:rsidP="004F61BE">
            <w:pPr>
              <w:spacing w:after="0"/>
              <w:jc w:val="center"/>
              <w:rPr>
                <w:rFonts w:ascii="Arial" w:hAnsi="Arial" w:cs="Arial"/>
                <w:sz w:val="18"/>
                <w:lang w:val="en-US"/>
              </w:rPr>
            </w:pPr>
            <w:r w:rsidRPr="00D62F1C">
              <w:rPr>
                <w:rFonts w:ascii="Arial" w:hAnsi="Arial" w:cs="Arial"/>
                <w:sz w:val="18"/>
                <w:lang w:val="en-US"/>
              </w:rPr>
              <w:t>-125</w:t>
            </w:r>
          </w:p>
        </w:tc>
      </w:tr>
    </w:tbl>
    <w:p w14:paraId="3114B833" w14:textId="77777777" w:rsidR="00120A88" w:rsidRDefault="00120A88" w:rsidP="00120A88">
      <w:pPr>
        <w:jc w:val="both"/>
        <w:rPr>
          <w:lang w:val="en-US"/>
        </w:rPr>
      </w:pPr>
    </w:p>
    <w:p w14:paraId="67BF7E8C" w14:textId="1F82DD95" w:rsidR="00120A88" w:rsidRDefault="00120A88" w:rsidP="00120A88">
      <w:pPr>
        <w:jc w:val="both"/>
        <w:rPr>
          <w:lang w:val="en-US"/>
        </w:rPr>
      </w:pPr>
      <w:r>
        <w:rPr>
          <w:lang w:val="en-US"/>
        </w:rPr>
        <w:t xml:space="preserve">The same considerations we made in </w:t>
      </w:r>
      <w:r>
        <w:rPr>
          <w:lang w:val="en-US"/>
        </w:rPr>
        <w:fldChar w:fldCharType="begin"/>
      </w:r>
      <w:r>
        <w:rPr>
          <w:lang w:val="en-US"/>
        </w:rPr>
        <w:instrText xml:space="preserve"> REF _Ref462849414 \r \h </w:instrText>
      </w:r>
      <w:r>
        <w:rPr>
          <w:lang w:val="en-US"/>
        </w:rPr>
      </w:r>
      <w:r>
        <w:rPr>
          <w:lang w:val="en-US"/>
        </w:rPr>
        <w:fldChar w:fldCharType="separate"/>
      </w:r>
      <w:r w:rsidR="004E2728">
        <w:rPr>
          <w:lang w:val="en-US"/>
        </w:rPr>
        <w:t>[8]</w:t>
      </w:r>
      <w:r>
        <w:rPr>
          <w:lang w:val="en-US"/>
        </w:rPr>
        <w:fldChar w:fldCharType="end"/>
      </w:r>
      <w:r>
        <w:rPr>
          <w:lang w:val="en-US"/>
        </w:rPr>
        <w:t xml:space="preserve"> still applies here, i.e. the main contribution to MSD is due to IM2. Compared to our previous analysis, where we observed an MSD equal to 10.3dB for the 20MHz case, we observe only a very marginal difference for the 10MHz case. Indeed, considering the data listed above, our calculation for the MSD applicable to B46 10MHz channel based on MRC combining gives us a value of 10.2dB.</w:t>
      </w:r>
    </w:p>
    <w:p w14:paraId="4C2B34AF" w14:textId="66D3E992" w:rsidR="003632C9" w:rsidRPr="00180F33" w:rsidRDefault="00120A88" w:rsidP="003632C9">
      <w:pPr>
        <w:jc w:val="both"/>
        <w:rPr>
          <w:b/>
          <w:i/>
          <w:lang w:val="en-US"/>
        </w:rPr>
      </w:pPr>
      <w:r>
        <w:rPr>
          <w:b/>
          <w:i/>
          <w:lang w:val="en-US"/>
        </w:rPr>
        <w:t>Proposal</w:t>
      </w:r>
      <w:r w:rsidRPr="00F86114">
        <w:rPr>
          <w:b/>
          <w:i/>
          <w:lang w:val="en-US"/>
        </w:rPr>
        <w:t xml:space="preserve"> </w:t>
      </w:r>
      <w:r>
        <w:rPr>
          <w:b/>
          <w:i/>
          <w:lang w:val="en-US"/>
        </w:rPr>
        <w:t>1</w:t>
      </w:r>
      <w:r w:rsidRPr="00F86114">
        <w:rPr>
          <w:b/>
          <w:i/>
          <w:lang w:val="en-US"/>
        </w:rPr>
        <w:t>:</w:t>
      </w:r>
      <w:r>
        <w:rPr>
          <w:b/>
          <w:i/>
          <w:lang w:val="en-US"/>
        </w:rPr>
        <w:t xml:space="preserve"> to specify MSD=10.</w:t>
      </w:r>
      <w:r w:rsidR="000E0BDA">
        <w:rPr>
          <w:b/>
          <w:i/>
          <w:lang w:val="en-US"/>
        </w:rPr>
        <w:t>2</w:t>
      </w:r>
      <w:r>
        <w:rPr>
          <w:b/>
          <w:i/>
          <w:lang w:val="en-US"/>
        </w:rPr>
        <w:t>dB for B46 REFSENS (10MHz channel BW) in B42+B46 CA.</w:t>
      </w:r>
    </w:p>
    <w:p w14:paraId="309109FF" w14:textId="77777777" w:rsidR="003632C9" w:rsidRDefault="003632C9" w:rsidP="003632C9">
      <w:pPr>
        <w:pStyle w:val="Heading1"/>
        <w:jc w:val="both"/>
      </w:pPr>
      <w:r>
        <w:t>Conclusion</w:t>
      </w:r>
    </w:p>
    <w:p w14:paraId="47394F1B" w14:textId="5B5577CB" w:rsidR="00441696" w:rsidRDefault="003632C9" w:rsidP="00441696">
      <w:pPr>
        <w:jc w:val="both"/>
      </w:pPr>
      <w:r>
        <w:t>In thi</w:t>
      </w:r>
      <w:r w:rsidR="008A1CB1">
        <w:t>s contribution</w:t>
      </w:r>
      <w:r w:rsidR="00180F33">
        <w:t xml:space="preserve"> we provide some observations about the MSD analysis for 10MHz LAA channels:</w:t>
      </w:r>
    </w:p>
    <w:p w14:paraId="78E1A094" w14:textId="77777777" w:rsidR="00180F33" w:rsidRPr="00AD2536" w:rsidRDefault="00180F33" w:rsidP="00180F33">
      <w:pPr>
        <w:jc w:val="both"/>
        <w:rPr>
          <w:b/>
          <w:i/>
          <w:lang w:val="en-US"/>
        </w:rPr>
      </w:pPr>
      <w:r w:rsidRPr="00AD2536">
        <w:rPr>
          <w:b/>
          <w:i/>
          <w:lang w:val="en-US"/>
        </w:rPr>
        <w:t xml:space="preserve">Observation 1: RAN4 should clarify where the 10MHz LAA channels are located. </w:t>
      </w:r>
    </w:p>
    <w:p w14:paraId="451F42E0" w14:textId="59BE54F9" w:rsidR="00180F33" w:rsidRPr="00375537" w:rsidRDefault="00180F33" w:rsidP="00441696">
      <w:pPr>
        <w:jc w:val="both"/>
        <w:rPr>
          <w:b/>
          <w:i/>
          <w:lang w:val="en-US"/>
        </w:rPr>
      </w:pPr>
      <w:r w:rsidRPr="00AD2536">
        <w:rPr>
          <w:b/>
          <w:i/>
          <w:lang w:val="en-US"/>
        </w:rPr>
        <w:t xml:space="preserve">Observation </w:t>
      </w:r>
      <w:r>
        <w:rPr>
          <w:b/>
          <w:i/>
          <w:lang w:val="en-US"/>
        </w:rPr>
        <w:t>2</w:t>
      </w:r>
      <w:r w:rsidRPr="00AD2536">
        <w:rPr>
          <w:b/>
          <w:i/>
          <w:lang w:val="en-US"/>
        </w:rPr>
        <w:t xml:space="preserve">: RAN4 should clarify </w:t>
      </w:r>
      <w:r>
        <w:rPr>
          <w:b/>
          <w:i/>
          <w:lang w:val="en-US"/>
        </w:rPr>
        <w:t>whether aligning BS and UE band 46 channel raster is needed to handle harmonics hitting 10MHz channels</w:t>
      </w:r>
      <w:r w:rsidRPr="00AD2536">
        <w:rPr>
          <w:b/>
          <w:i/>
          <w:lang w:val="en-US"/>
        </w:rPr>
        <w:t xml:space="preserve">. </w:t>
      </w:r>
      <w:bookmarkStart w:id="4" w:name="_GoBack"/>
      <w:bookmarkEnd w:id="4"/>
    </w:p>
    <w:p w14:paraId="6AB46EDD" w14:textId="5D1EABAA" w:rsidR="00180F33" w:rsidRDefault="00180F33" w:rsidP="00441696">
      <w:pPr>
        <w:jc w:val="both"/>
      </w:pPr>
      <w:r>
        <w:t>Regarding B42+B46, we also made the following proposal:</w:t>
      </w:r>
    </w:p>
    <w:p w14:paraId="02725E31" w14:textId="789439AA" w:rsidR="00180F33" w:rsidRPr="00180F33" w:rsidRDefault="00180F33" w:rsidP="00180F33">
      <w:pPr>
        <w:jc w:val="both"/>
        <w:rPr>
          <w:b/>
          <w:i/>
          <w:lang w:val="en-US"/>
        </w:rPr>
      </w:pPr>
      <w:r>
        <w:rPr>
          <w:b/>
          <w:i/>
          <w:lang w:val="en-US"/>
        </w:rPr>
        <w:t>Proposal</w:t>
      </w:r>
      <w:r w:rsidRPr="00F86114">
        <w:rPr>
          <w:b/>
          <w:i/>
          <w:lang w:val="en-US"/>
        </w:rPr>
        <w:t xml:space="preserve"> </w:t>
      </w:r>
      <w:r>
        <w:rPr>
          <w:b/>
          <w:i/>
          <w:lang w:val="en-US"/>
        </w:rPr>
        <w:t>1</w:t>
      </w:r>
      <w:r w:rsidRPr="00F86114">
        <w:rPr>
          <w:b/>
          <w:i/>
          <w:lang w:val="en-US"/>
        </w:rPr>
        <w:t>:</w:t>
      </w:r>
      <w:r>
        <w:rPr>
          <w:b/>
          <w:i/>
          <w:lang w:val="en-US"/>
        </w:rPr>
        <w:t xml:space="preserve"> to specify MSD=10.2dB for B46 REFSENS (10MHz channel BW) in B42+B46 CA.</w:t>
      </w:r>
    </w:p>
    <w:p w14:paraId="005FAAF0" w14:textId="10BB5D00" w:rsidR="003632C9" w:rsidRPr="0059576F" w:rsidRDefault="003632C9" w:rsidP="003632C9">
      <w:pPr>
        <w:jc w:val="both"/>
      </w:pPr>
    </w:p>
    <w:p w14:paraId="712D77E6" w14:textId="77777777" w:rsidR="003632C9" w:rsidRDefault="003632C9" w:rsidP="003632C9">
      <w:pPr>
        <w:pStyle w:val="Heading1"/>
        <w:numPr>
          <w:ilvl w:val="0"/>
          <w:numId w:val="0"/>
        </w:numPr>
        <w:tabs>
          <w:tab w:val="num" w:pos="432"/>
        </w:tabs>
        <w:ind w:left="432" w:hanging="432"/>
        <w:jc w:val="both"/>
        <w:rPr>
          <w:lang w:val="en-US"/>
        </w:rPr>
      </w:pPr>
      <w:r>
        <w:rPr>
          <w:lang w:val="en-US"/>
        </w:rPr>
        <w:t>Reference</w:t>
      </w:r>
    </w:p>
    <w:p w14:paraId="05E5AC8C" w14:textId="77777777" w:rsidR="003632C9" w:rsidRPr="007A12C1" w:rsidRDefault="003632C9" w:rsidP="003632C9">
      <w:pPr>
        <w:numPr>
          <w:ilvl w:val="0"/>
          <w:numId w:val="2"/>
        </w:numPr>
        <w:tabs>
          <w:tab w:val="left" w:pos="1080"/>
        </w:tabs>
        <w:jc w:val="both"/>
        <w:rPr>
          <w:lang w:val="en-US"/>
        </w:rPr>
      </w:pPr>
      <w:bookmarkStart w:id="5" w:name="_Ref450557811"/>
      <w:bookmarkStart w:id="6" w:name="_Ref447207862"/>
      <w:bookmarkStart w:id="7" w:name="_Ref419388595"/>
      <w:bookmarkStart w:id="8" w:name="_Ref419289036"/>
      <w:bookmarkStart w:id="9" w:name="_Ref462755180"/>
      <w:bookmarkStart w:id="10" w:name="_Ref462841087"/>
      <w:bookmarkStart w:id="11" w:name="_Ref442191279"/>
      <w:bookmarkStart w:id="12" w:name="_Ref447031905"/>
      <w:bookmarkStart w:id="13" w:name="_Ref457836488"/>
      <w:r w:rsidRPr="007A12C1">
        <w:rPr>
          <w:lang w:val="en-US"/>
        </w:rPr>
        <w:t>R4-166851</w:t>
      </w:r>
      <w:r>
        <w:rPr>
          <w:lang w:val="en-US"/>
        </w:rPr>
        <w:t>,</w:t>
      </w:r>
      <w:r w:rsidRPr="007A12C1">
        <w:rPr>
          <w:lang w:val="en-US"/>
        </w:rPr>
        <w:t xml:space="preserve"> </w:t>
      </w:r>
      <w:r>
        <w:rPr>
          <w:lang w:val="en-US"/>
        </w:rPr>
        <w:t>“</w:t>
      </w:r>
      <w:r w:rsidRPr="007A12C1">
        <w:rPr>
          <w:lang w:val="en-US"/>
        </w:rPr>
        <w:t>WF on MSD for Band</w:t>
      </w:r>
      <w:r>
        <w:rPr>
          <w:lang w:val="en-US"/>
        </w:rPr>
        <w:t>”</w:t>
      </w:r>
      <w:bookmarkEnd w:id="5"/>
      <w:bookmarkEnd w:id="6"/>
      <w:bookmarkEnd w:id="7"/>
      <w:bookmarkEnd w:id="8"/>
      <w:r>
        <w:rPr>
          <w:lang w:val="en-US"/>
        </w:rPr>
        <w:t xml:space="preserve">, </w:t>
      </w:r>
      <w:r w:rsidRPr="007A12C1">
        <w:rPr>
          <w:lang w:val="en-US"/>
        </w:rPr>
        <w:t>NTT DOCOMO, Qualcomm, Skyworks, MediaTek, LGU+</w:t>
      </w:r>
      <w:bookmarkEnd w:id="9"/>
      <w:r>
        <w:rPr>
          <w:lang w:val="en-US"/>
        </w:rPr>
        <w:t>.</w:t>
      </w:r>
      <w:bookmarkEnd w:id="10"/>
    </w:p>
    <w:p w14:paraId="57192769" w14:textId="77777777" w:rsidR="003632C9" w:rsidRPr="007A12C1" w:rsidRDefault="003632C9" w:rsidP="003632C9">
      <w:pPr>
        <w:numPr>
          <w:ilvl w:val="0"/>
          <w:numId w:val="2"/>
        </w:numPr>
        <w:tabs>
          <w:tab w:val="left" w:pos="1080"/>
        </w:tabs>
        <w:jc w:val="both"/>
        <w:rPr>
          <w:lang w:val="en-US"/>
        </w:rPr>
      </w:pPr>
      <w:bookmarkStart w:id="14" w:name="_Ref462756487"/>
      <w:r w:rsidRPr="007A12C1">
        <w:rPr>
          <w:lang w:val="en-US"/>
        </w:rPr>
        <w:t xml:space="preserve">R4-166982: </w:t>
      </w:r>
      <w:r>
        <w:rPr>
          <w:lang w:val="en-US"/>
        </w:rPr>
        <w:t>“</w:t>
      </w:r>
      <w:r w:rsidRPr="001E75F7">
        <w:rPr>
          <w:noProof/>
        </w:rPr>
        <w:t>Guard band requirements for Band 46 MSD</w:t>
      </w:r>
      <w:r>
        <w:rPr>
          <w:noProof/>
        </w:rPr>
        <w:t>”, Rel 13 Cat F CR, Qualcomm Incorporated.</w:t>
      </w:r>
      <w:bookmarkEnd w:id="14"/>
    </w:p>
    <w:p w14:paraId="7B09DBF4" w14:textId="770E1BBC" w:rsidR="003632C9" w:rsidRPr="007A12C1" w:rsidRDefault="00AD2536" w:rsidP="003632C9">
      <w:pPr>
        <w:numPr>
          <w:ilvl w:val="0"/>
          <w:numId w:val="2"/>
        </w:numPr>
        <w:tabs>
          <w:tab w:val="left" w:pos="1080"/>
        </w:tabs>
        <w:jc w:val="both"/>
        <w:rPr>
          <w:lang w:val="en-US"/>
        </w:rPr>
      </w:pPr>
      <w:bookmarkStart w:id="15" w:name="_Ref462756489"/>
      <w:r>
        <w:rPr>
          <w:lang w:val="en-US"/>
        </w:rPr>
        <w:t>R4-165469,</w:t>
      </w:r>
      <w:r w:rsidR="003632C9" w:rsidRPr="007A12C1">
        <w:rPr>
          <w:lang w:val="en-US"/>
        </w:rPr>
        <w:t xml:space="preserve"> </w:t>
      </w:r>
      <w:r w:rsidR="003632C9">
        <w:rPr>
          <w:lang w:val="en-US"/>
        </w:rPr>
        <w:t>“</w:t>
      </w:r>
      <w:r w:rsidR="003632C9" w:rsidRPr="001E75F7">
        <w:rPr>
          <w:noProof/>
        </w:rPr>
        <w:t>Guard band requirements for Band 46 MSD</w:t>
      </w:r>
      <w:r w:rsidR="003632C9">
        <w:rPr>
          <w:noProof/>
        </w:rPr>
        <w:t>”, Rel 14 Cat A CR, Qualcomm Incorporated.</w:t>
      </w:r>
      <w:bookmarkEnd w:id="15"/>
    </w:p>
    <w:p w14:paraId="444826A9" w14:textId="5321D88F" w:rsidR="003632C9" w:rsidRPr="00AD2536" w:rsidRDefault="00AD2536" w:rsidP="003632C9">
      <w:pPr>
        <w:numPr>
          <w:ilvl w:val="0"/>
          <w:numId w:val="2"/>
        </w:numPr>
        <w:tabs>
          <w:tab w:val="left" w:pos="1080"/>
        </w:tabs>
        <w:jc w:val="both"/>
        <w:rPr>
          <w:lang w:val="en-US"/>
        </w:rPr>
      </w:pPr>
      <w:bookmarkStart w:id="16" w:name="_Ref462756491"/>
      <w:r>
        <w:rPr>
          <w:lang w:val="en-US"/>
        </w:rPr>
        <w:t>R4-165470,</w:t>
      </w:r>
      <w:r w:rsidR="003632C9" w:rsidRPr="007A12C1">
        <w:rPr>
          <w:lang w:val="en-US"/>
        </w:rPr>
        <w:t xml:space="preserve"> </w:t>
      </w:r>
      <w:r w:rsidR="003632C9">
        <w:rPr>
          <w:lang w:val="en-US"/>
        </w:rPr>
        <w:t>“</w:t>
      </w:r>
      <w:r w:rsidR="003632C9" w:rsidRPr="001E75F7">
        <w:rPr>
          <w:noProof/>
        </w:rPr>
        <w:t>Guard band requirements for Band 46 MSD</w:t>
      </w:r>
      <w:r w:rsidR="003632C9">
        <w:rPr>
          <w:noProof/>
        </w:rPr>
        <w:t>”, Rel 14 Cat F CR, Qualcomm Incorporated.</w:t>
      </w:r>
      <w:bookmarkEnd w:id="16"/>
    </w:p>
    <w:p w14:paraId="7B58F388" w14:textId="0F22A1F0" w:rsidR="00AD2536" w:rsidRPr="00AD2536" w:rsidRDefault="00AD2536" w:rsidP="00AD2536">
      <w:pPr>
        <w:numPr>
          <w:ilvl w:val="0"/>
          <w:numId w:val="2"/>
        </w:numPr>
        <w:tabs>
          <w:tab w:val="left" w:pos="1080"/>
        </w:tabs>
        <w:jc w:val="both"/>
        <w:rPr>
          <w:lang w:val="en-US"/>
        </w:rPr>
      </w:pPr>
      <w:bookmarkStart w:id="17" w:name="_Ref462848121"/>
      <w:r w:rsidRPr="00AD2536">
        <w:rPr>
          <w:lang w:val="en-US"/>
        </w:rPr>
        <w:t>R4-163148</w:t>
      </w:r>
      <w:r>
        <w:rPr>
          <w:lang w:val="en-US"/>
        </w:rPr>
        <w:t>,</w:t>
      </w:r>
      <w:r w:rsidRPr="00AD2536">
        <w:rPr>
          <w:lang w:val="en-US"/>
        </w:rPr>
        <w:tab/>
      </w:r>
      <w:r>
        <w:rPr>
          <w:lang w:val="en-US"/>
        </w:rPr>
        <w:t>“</w:t>
      </w:r>
      <w:r w:rsidRPr="00AD2536">
        <w:rPr>
          <w:lang w:val="en-US"/>
        </w:rPr>
        <w:t>WF on LAA Bandwidth combination sets in CA basket work items</w:t>
      </w:r>
      <w:r>
        <w:rPr>
          <w:lang w:val="en-US"/>
        </w:rPr>
        <w:t xml:space="preserve">”, </w:t>
      </w:r>
      <w:r w:rsidRPr="00AD2536">
        <w:t>Nokia, Vodafone, Huawei</w:t>
      </w:r>
      <w:r>
        <w:t>.</w:t>
      </w:r>
      <w:bookmarkEnd w:id="17"/>
    </w:p>
    <w:p w14:paraId="2CE8895D" w14:textId="77777777" w:rsidR="00AD2536" w:rsidRPr="00AD2536" w:rsidRDefault="00AD2536" w:rsidP="00AD2536">
      <w:pPr>
        <w:numPr>
          <w:ilvl w:val="0"/>
          <w:numId w:val="2"/>
        </w:numPr>
        <w:tabs>
          <w:tab w:val="left" w:pos="1080"/>
        </w:tabs>
        <w:jc w:val="both"/>
        <w:rPr>
          <w:lang w:val="en-US"/>
        </w:rPr>
      </w:pPr>
      <w:bookmarkStart w:id="18" w:name="_Ref462843010"/>
      <w:r w:rsidRPr="00AD2536">
        <w:rPr>
          <w:lang w:val="en-US"/>
        </w:rPr>
        <w:t>R4-165835</w:t>
      </w:r>
      <w:r>
        <w:rPr>
          <w:lang w:val="en-US"/>
        </w:rPr>
        <w:t>, “</w:t>
      </w:r>
      <w:r w:rsidRPr="00AD2536">
        <w:rPr>
          <w:lang w:val="en-US"/>
        </w:rPr>
        <w:t>UE and BS channel raster alignment in B46</w:t>
      </w:r>
      <w:r>
        <w:rPr>
          <w:lang w:val="en-US"/>
        </w:rPr>
        <w:t xml:space="preserve">”, </w:t>
      </w:r>
      <w:r>
        <w:rPr>
          <w:noProof/>
        </w:rPr>
        <w:t>Qualcomm Incorporated.</w:t>
      </w:r>
      <w:bookmarkEnd w:id="18"/>
    </w:p>
    <w:p w14:paraId="394511D2" w14:textId="77777777" w:rsidR="00AD2536" w:rsidRPr="00441696" w:rsidRDefault="00AD2536" w:rsidP="00AD2536">
      <w:pPr>
        <w:numPr>
          <w:ilvl w:val="0"/>
          <w:numId w:val="2"/>
        </w:numPr>
        <w:tabs>
          <w:tab w:val="left" w:pos="1080"/>
        </w:tabs>
        <w:jc w:val="both"/>
        <w:rPr>
          <w:lang w:val="en-US"/>
        </w:rPr>
      </w:pPr>
      <w:bookmarkStart w:id="19" w:name="_Ref462843071"/>
      <w:r w:rsidRPr="00AD2536">
        <w:rPr>
          <w:lang w:val="en-US"/>
        </w:rPr>
        <w:lastRenderedPageBreak/>
        <w:t>R4-165825</w:t>
      </w:r>
      <w:r>
        <w:rPr>
          <w:lang w:val="en-US"/>
        </w:rPr>
        <w:t>,</w:t>
      </w:r>
      <w:r w:rsidRPr="00AD2536">
        <w:rPr>
          <w:lang w:val="en-US"/>
        </w:rPr>
        <w:t xml:space="preserve"> </w:t>
      </w:r>
      <w:r>
        <w:rPr>
          <w:lang w:val="en-US"/>
        </w:rPr>
        <w:t>“</w:t>
      </w:r>
      <w:r w:rsidRPr="00AD2536">
        <w:rPr>
          <w:lang w:val="en-US"/>
        </w:rPr>
        <w:t>Align channel numbers in 36.101 with 36.104</w:t>
      </w:r>
      <w:r>
        <w:rPr>
          <w:lang w:val="en-US"/>
        </w:rPr>
        <w:t xml:space="preserve">”, </w:t>
      </w:r>
      <w:r>
        <w:rPr>
          <w:noProof/>
        </w:rPr>
        <w:t>Qualcomm Incorporated.</w:t>
      </w:r>
      <w:bookmarkEnd w:id="19"/>
    </w:p>
    <w:p w14:paraId="165FF3A2" w14:textId="627BC6FC" w:rsidR="00441696" w:rsidRPr="00AD2536" w:rsidRDefault="00441696" w:rsidP="00441696">
      <w:pPr>
        <w:numPr>
          <w:ilvl w:val="0"/>
          <w:numId w:val="2"/>
        </w:numPr>
        <w:tabs>
          <w:tab w:val="left" w:pos="1080"/>
        </w:tabs>
        <w:jc w:val="both"/>
        <w:rPr>
          <w:lang w:val="en-US"/>
        </w:rPr>
      </w:pPr>
      <w:bookmarkStart w:id="20" w:name="_Ref462849414"/>
      <w:r w:rsidRPr="00441696">
        <w:rPr>
          <w:lang w:val="en-US"/>
        </w:rPr>
        <w:t>R4-164203</w:t>
      </w:r>
      <w:r>
        <w:rPr>
          <w:lang w:val="en-US"/>
        </w:rPr>
        <w:t>, “</w:t>
      </w:r>
      <w:r w:rsidRPr="00441696">
        <w:rPr>
          <w:lang w:val="en-US"/>
        </w:rPr>
        <w:t>MSD analysis for B42+B46</w:t>
      </w:r>
      <w:r>
        <w:rPr>
          <w:lang w:val="en-US"/>
        </w:rPr>
        <w:t>”, Qualcomm Incorporated.</w:t>
      </w:r>
      <w:bookmarkEnd w:id="20"/>
    </w:p>
    <w:p w14:paraId="3175CC12" w14:textId="64648B8A" w:rsidR="00AD2536" w:rsidRPr="00E60C28" w:rsidRDefault="0007676D" w:rsidP="00E60C28">
      <w:pPr>
        <w:numPr>
          <w:ilvl w:val="0"/>
          <w:numId w:val="2"/>
        </w:numPr>
        <w:tabs>
          <w:tab w:val="left" w:pos="1080"/>
        </w:tabs>
        <w:jc w:val="both"/>
        <w:rPr>
          <w:lang w:val="en-US"/>
        </w:rPr>
      </w:pPr>
      <w:bookmarkStart w:id="21" w:name="_Ref462849416"/>
      <w:r w:rsidRPr="00441696">
        <w:rPr>
          <w:lang w:val="en-US"/>
        </w:rPr>
        <w:t>R4-165473, “MSD for band 42-46 DL CA combination”, Skyworks Solutions Inc.</w:t>
      </w:r>
      <w:bookmarkEnd w:id="11"/>
      <w:bookmarkEnd w:id="12"/>
      <w:bookmarkEnd w:id="13"/>
      <w:bookmarkEnd w:id="21"/>
    </w:p>
    <w:sectPr w:rsidR="00AD2536" w:rsidRPr="00E60C2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95192" w14:textId="77777777" w:rsidR="00E92E28" w:rsidRDefault="00E92E28">
      <w:r>
        <w:separator/>
      </w:r>
    </w:p>
  </w:endnote>
  <w:endnote w:type="continuationSeparator" w:id="0">
    <w:p w14:paraId="0C5C0667" w14:textId="77777777" w:rsidR="00E92E28" w:rsidRDefault="00E9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310840" w:rsidRDefault="003108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5537">
      <w:rPr>
        <w:rStyle w:val="PageNumber"/>
      </w:rPr>
      <w:t>4</w:t>
    </w:r>
    <w:r>
      <w:rPr>
        <w:rStyle w:val="PageNumber"/>
      </w:rPr>
      <w:fldChar w:fldCharType="end"/>
    </w:r>
  </w:p>
  <w:p w14:paraId="40DAC66D" w14:textId="77777777" w:rsidR="00310840" w:rsidRDefault="0031084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8B364" w14:textId="77777777" w:rsidR="00E92E28" w:rsidRDefault="00E92E28">
      <w:r>
        <w:separator/>
      </w:r>
    </w:p>
  </w:footnote>
  <w:footnote w:type="continuationSeparator" w:id="0">
    <w:p w14:paraId="0BDB92B6" w14:textId="77777777" w:rsidR="00E92E28" w:rsidRDefault="00E92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97DA7"/>
    <w:multiLevelType w:val="hybridMultilevel"/>
    <w:tmpl w:val="A470E87E"/>
    <w:lvl w:ilvl="0" w:tplc="E1B0A198">
      <w:start w:val="1"/>
      <w:numFmt w:val="bullet"/>
      <w:lvlText w:val="•"/>
      <w:lvlJc w:val="left"/>
      <w:pPr>
        <w:tabs>
          <w:tab w:val="num" w:pos="720"/>
        </w:tabs>
        <w:ind w:left="720" w:hanging="360"/>
      </w:pPr>
      <w:rPr>
        <w:rFonts w:ascii="Arial" w:hAnsi="Arial" w:hint="default"/>
      </w:rPr>
    </w:lvl>
    <w:lvl w:ilvl="1" w:tplc="BA3ADC54" w:tentative="1">
      <w:start w:val="1"/>
      <w:numFmt w:val="bullet"/>
      <w:lvlText w:val="•"/>
      <w:lvlJc w:val="left"/>
      <w:pPr>
        <w:tabs>
          <w:tab w:val="num" w:pos="1440"/>
        </w:tabs>
        <w:ind w:left="1440" w:hanging="360"/>
      </w:pPr>
      <w:rPr>
        <w:rFonts w:ascii="Arial" w:hAnsi="Arial" w:hint="default"/>
      </w:rPr>
    </w:lvl>
    <w:lvl w:ilvl="2" w:tplc="17CAEAC2" w:tentative="1">
      <w:start w:val="1"/>
      <w:numFmt w:val="bullet"/>
      <w:lvlText w:val="•"/>
      <w:lvlJc w:val="left"/>
      <w:pPr>
        <w:tabs>
          <w:tab w:val="num" w:pos="2160"/>
        </w:tabs>
        <w:ind w:left="2160" w:hanging="360"/>
      </w:pPr>
      <w:rPr>
        <w:rFonts w:ascii="Arial" w:hAnsi="Arial" w:hint="default"/>
      </w:rPr>
    </w:lvl>
    <w:lvl w:ilvl="3" w:tplc="B0C4DA2A" w:tentative="1">
      <w:start w:val="1"/>
      <w:numFmt w:val="bullet"/>
      <w:lvlText w:val="•"/>
      <w:lvlJc w:val="left"/>
      <w:pPr>
        <w:tabs>
          <w:tab w:val="num" w:pos="2880"/>
        </w:tabs>
        <w:ind w:left="2880" w:hanging="360"/>
      </w:pPr>
      <w:rPr>
        <w:rFonts w:ascii="Arial" w:hAnsi="Arial" w:hint="default"/>
      </w:rPr>
    </w:lvl>
    <w:lvl w:ilvl="4" w:tplc="04B0321A" w:tentative="1">
      <w:start w:val="1"/>
      <w:numFmt w:val="bullet"/>
      <w:lvlText w:val="•"/>
      <w:lvlJc w:val="left"/>
      <w:pPr>
        <w:tabs>
          <w:tab w:val="num" w:pos="3600"/>
        </w:tabs>
        <w:ind w:left="3600" w:hanging="360"/>
      </w:pPr>
      <w:rPr>
        <w:rFonts w:ascii="Arial" w:hAnsi="Arial" w:hint="default"/>
      </w:rPr>
    </w:lvl>
    <w:lvl w:ilvl="5" w:tplc="56E06AAA" w:tentative="1">
      <w:start w:val="1"/>
      <w:numFmt w:val="bullet"/>
      <w:lvlText w:val="•"/>
      <w:lvlJc w:val="left"/>
      <w:pPr>
        <w:tabs>
          <w:tab w:val="num" w:pos="4320"/>
        </w:tabs>
        <w:ind w:left="4320" w:hanging="360"/>
      </w:pPr>
      <w:rPr>
        <w:rFonts w:ascii="Arial" w:hAnsi="Arial" w:hint="default"/>
      </w:rPr>
    </w:lvl>
    <w:lvl w:ilvl="6" w:tplc="6EC266F8" w:tentative="1">
      <w:start w:val="1"/>
      <w:numFmt w:val="bullet"/>
      <w:lvlText w:val="•"/>
      <w:lvlJc w:val="left"/>
      <w:pPr>
        <w:tabs>
          <w:tab w:val="num" w:pos="5040"/>
        </w:tabs>
        <w:ind w:left="5040" w:hanging="360"/>
      </w:pPr>
      <w:rPr>
        <w:rFonts w:ascii="Arial" w:hAnsi="Arial" w:hint="default"/>
      </w:rPr>
    </w:lvl>
    <w:lvl w:ilvl="7" w:tplc="C054FF40" w:tentative="1">
      <w:start w:val="1"/>
      <w:numFmt w:val="bullet"/>
      <w:lvlText w:val="•"/>
      <w:lvlJc w:val="left"/>
      <w:pPr>
        <w:tabs>
          <w:tab w:val="num" w:pos="5760"/>
        </w:tabs>
        <w:ind w:left="5760" w:hanging="360"/>
      </w:pPr>
      <w:rPr>
        <w:rFonts w:ascii="Arial" w:hAnsi="Arial" w:hint="default"/>
      </w:rPr>
    </w:lvl>
    <w:lvl w:ilvl="8" w:tplc="01C08D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8"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A06EC5"/>
    <w:multiLevelType w:val="hybridMultilevel"/>
    <w:tmpl w:val="B0148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12D39"/>
    <w:multiLevelType w:val="hybridMultilevel"/>
    <w:tmpl w:val="50B4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78199B"/>
    <w:multiLevelType w:val="hybridMultilevel"/>
    <w:tmpl w:val="2D4AF428"/>
    <w:lvl w:ilvl="0" w:tplc="54F0FE90">
      <w:start w:val="1"/>
      <w:numFmt w:val="bullet"/>
      <w:lvlText w:val="•"/>
      <w:lvlJc w:val="left"/>
      <w:pPr>
        <w:tabs>
          <w:tab w:val="num" w:pos="720"/>
        </w:tabs>
        <w:ind w:left="720" w:hanging="360"/>
      </w:pPr>
      <w:rPr>
        <w:rFonts w:ascii="Arial" w:hAnsi="Arial" w:hint="default"/>
      </w:rPr>
    </w:lvl>
    <w:lvl w:ilvl="1" w:tplc="91F4B72E" w:tentative="1">
      <w:start w:val="1"/>
      <w:numFmt w:val="bullet"/>
      <w:lvlText w:val="•"/>
      <w:lvlJc w:val="left"/>
      <w:pPr>
        <w:tabs>
          <w:tab w:val="num" w:pos="1440"/>
        </w:tabs>
        <w:ind w:left="1440" w:hanging="360"/>
      </w:pPr>
      <w:rPr>
        <w:rFonts w:ascii="Arial" w:hAnsi="Arial" w:hint="default"/>
      </w:rPr>
    </w:lvl>
    <w:lvl w:ilvl="2" w:tplc="E1FC31FC" w:tentative="1">
      <w:start w:val="1"/>
      <w:numFmt w:val="bullet"/>
      <w:lvlText w:val="•"/>
      <w:lvlJc w:val="left"/>
      <w:pPr>
        <w:tabs>
          <w:tab w:val="num" w:pos="2160"/>
        </w:tabs>
        <w:ind w:left="2160" w:hanging="360"/>
      </w:pPr>
      <w:rPr>
        <w:rFonts w:ascii="Arial" w:hAnsi="Arial" w:hint="default"/>
      </w:rPr>
    </w:lvl>
    <w:lvl w:ilvl="3" w:tplc="EDB03136" w:tentative="1">
      <w:start w:val="1"/>
      <w:numFmt w:val="bullet"/>
      <w:lvlText w:val="•"/>
      <w:lvlJc w:val="left"/>
      <w:pPr>
        <w:tabs>
          <w:tab w:val="num" w:pos="2880"/>
        </w:tabs>
        <w:ind w:left="2880" w:hanging="360"/>
      </w:pPr>
      <w:rPr>
        <w:rFonts w:ascii="Arial" w:hAnsi="Arial" w:hint="default"/>
      </w:rPr>
    </w:lvl>
    <w:lvl w:ilvl="4" w:tplc="4B820BAA" w:tentative="1">
      <w:start w:val="1"/>
      <w:numFmt w:val="bullet"/>
      <w:lvlText w:val="•"/>
      <w:lvlJc w:val="left"/>
      <w:pPr>
        <w:tabs>
          <w:tab w:val="num" w:pos="3600"/>
        </w:tabs>
        <w:ind w:left="3600" w:hanging="360"/>
      </w:pPr>
      <w:rPr>
        <w:rFonts w:ascii="Arial" w:hAnsi="Arial" w:hint="default"/>
      </w:rPr>
    </w:lvl>
    <w:lvl w:ilvl="5" w:tplc="E1448B14" w:tentative="1">
      <w:start w:val="1"/>
      <w:numFmt w:val="bullet"/>
      <w:lvlText w:val="•"/>
      <w:lvlJc w:val="left"/>
      <w:pPr>
        <w:tabs>
          <w:tab w:val="num" w:pos="4320"/>
        </w:tabs>
        <w:ind w:left="4320" w:hanging="360"/>
      </w:pPr>
      <w:rPr>
        <w:rFonts w:ascii="Arial" w:hAnsi="Arial" w:hint="default"/>
      </w:rPr>
    </w:lvl>
    <w:lvl w:ilvl="6" w:tplc="2122A086" w:tentative="1">
      <w:start w:val="1"/>
      <w:numFmt w:val="bullet"/>
      <w:lvlText w:val="•"/>
      <w:lvlJc w:val="left"/>
      <w:pPr>
        <w:tabs>
          <w:tab w:val="num" w:pos="5040"/>
        </w:tabs>
        <w:ind w:left="5040" w:hanging="360"/>
      </w:pPr>
      <w:rPr>
        <w:rFonts w:ascii="Arial" w:hAnsi="Arial" w:hint="default"/>
      </w:rPr>
    </w:lvl>
    <w:lvl w:ilvl="7" w:tplc="D5968288" w:tentative="1">
      <w:start w:val="1"/>
      <w:numFmt w:val="bullet"/>
      <w:lvlText w:val="•"/>
      <w:lvlJc w:val="left"/>
      <w:pPr>
        <w:tabs>
          <w:tab w:val="num" w:pos="5760"/>
        </w:tabs>
        <w:ind w:left="5760" w:hanging="360"/>
      </w:pPr>
      <w:rPr>
        <w:rFonts w:ascii="Arial" w:hAnsi="Arial" w:hint="default"/>
      </w:rPr>
    </w:lvl>
    <w:lvl w:ilvl="8" w:tplc="0A4C73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970"/>
        </w:tabs>
        <w:ind w:left="297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F27D51"/>
    <w:multiLevelType w:val="hybridMultilevel"/>
    <w:tmpl w:val="CCFC7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31"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D883F3A"/>
    <w:multiLevelType w:val="hybridMultilevel"/>
    <w:tmpl w:val="B54E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38"/>
  </w:num>
  <w:num w:numId="3">
    <w:abstractNumId w:val="42"/>
  </w:num>
  <w:num w:numId="4">
    <w:abstractNumId w:val="43"/>
  </w:num>
  <w:num w:numId="5">
    <w:abstractNumId w:val="35"/>
  </w:num>
  <w:num w:numId="6">
    <w:abstractNumId w:val="19"/>
  </w:num>
  <w:num w:numId="7">
    <w:abstractNumId w:val="9"/>
  </w:num>
  <w:num w:numId="8">
    <w:abstractNumId w:val="40"/>
  </w:num>
  <w:num w:numId="9">
    <w:abstractNumId w:val="20"/>
  </w:num>
  <w:num w:numId="10">
    <w:abstractNumId w:val="32"/>
  </w:num>
  <w:num w:numId="11">
    <w:abstractNumId w:val="44"/>
  </w:num>
  <w:num w:numId="12">
    <w:abstractNumId w:val="6"/>
  </w:num>
  <w:num w:numId="13">
    <w:abstractNumId w:val="14"/>
  </w:num>
  <w:num w:numId="14">
    <w:abstractNumId w:val="4"/>
  </w:num>
  <w:num w:numId="15">
    <w:abstractNumId w:val="12"/>
  </w:num>
  <w:num w:numId="16">
    <w:abstractNumId w:val="13"/>
  </w:num>
  <w:num w:numId="17">
    <w:abstractNumId w:val="0"/>
  </w:num>
  <w:num w:numId="18">
    <w:abstractNumId w:val="22"/>
  </w:num>
  <w:num w:numId="19">
    <w:abstractNumId w:val="31"/>
  </w:num>
  <w:num w:numId="20">
    <w:abstractNumId w:val="10"/>
  </w:num>
  <w:num w:numId="21">
    <w:abstractNumId w:val="5"/>
  </w:num>
  <w:num w:numId="22">
    <w:abstractNumId w:val="16"/>
  </w:num>
  <w:num w:numId="23">
    <w:abstractNumId w:val="36"/>
  </w:num>
  <w:num w:numId="24">
    <w:abstractNumId w:val="25"/>
  </w:num>
  <w:num w:numId="25">
    <w:abstractNumId w:val="39"/>
  </w:num>
  <w:num w:numId="26">
    <w:abstractNumId w:val="11"/>
  </w:num>
  <w:num w:numId="27">
    <w:abstractNumId w:val="23"/>
  </w:num>
  <w:num w:numId="28">
    <w:abstractNumId w:val="30"/>
  </w:num>
  <w:num w:numId="29">
    <w:abstractNumId w:val="15"/>
  </w:num>
  <w:num w:numId="30">
    <w:abstractNumId w:val="18"/>
  </w:num>
  <w:num w:numId="31">
    <w:abstractNumId w:val="28"/>
  </w:num>
  <w:num w:numId="32">
    <w:abstractNumId w:val="8"/>
  </w:num>
  <w:num w:numId="33">
    <w:abstractNumId w:val="17"/>
  </w:num>
  <w:num w:numId="34">
    <w:abstractNumId w:val="3"/>
  </w:num>
  <w:num w:numId="35">
    <w:abstractNumId w:val="28"/>
  </w:num>
  <w:num w:numId="36">
    <w:abstractNumId w:val="26"/>
  </w:num>
  <w:num w:numId="37">
    <w:abstractNumId w:val="34"/>
  </w:num>
  <w:num w:numId="38">
    <w:abstractNumId w:val="37"/>
  </w:num>
  <w:num w:numId="39">
    <w:abstractNumId w:val="33"/>
  </w:num>
  <w:num w:numId="40">
    <w:abstractNumId w:val="2"/>
  </w:num>
  <w:num w:numId="41">
    <w:abstractNumId w:val="7"/>
  </w:num>
  <w:num w:numId="42">
    <w:abstractNumId w:val="29"/>
  </w:num>
  <w:num w:numId="43">
    <w:abstractNumId w:val="21"/>
  </w:num>
  <w:num w:numId="44">
    <w:abstractNumId w:val="24"/>
  </w:num>
  <w:num w:numId="45">
    <w:abstractNumId w:val="27"/>
  </w:num>
  <w:num w:numId="46">
    <w:abstractNumId w:val="1"/>
  </w:num>
  <w:num w:numId="47">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76D"/>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0BDA"/>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5677"/>
    <w:rsid w:val="00116046"/>
    <w:rsid w:val="00116F74"/>
    <w:rsid w:val="001176B7"/>
    <w:rsid w:val="00120A88"/>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0FD2"/>
    <w:rsid w:val="00171D36"/>
    <w:rsid w:val="00174BD8"/>
    <w:rsid w:val="00175C29"/>
    <w:rsid w:val="00175EB8"/>
    <w:rsid w:val="00176652"/>
    <w:rsid w:val="00176945"/>
    <w:rsid w:val="001771D5"/>
    <w:rsid w:val="0017771E"/>
    <w:rsid w:val="00177970"/>
    <w:rsid w:val="00177F69"/>
    <w:rsid w:val="0018021E"/>
    <w:rsid w:val="00180E49"/>
    <w:rsid w:val="00180F33"/>
    <w:rsid w:val="00181289"/>
    <w:rsid w:val="001813EF"/>
    <w:rsid w:val="00181A9B"/>
    <w:rsid w:val="00182838"/>
    <w:rsid w:val="001842E4"/>
    <w:rsid w:val="00184942"/>
    <w:rsid w:val="001851BF"/>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625B"/>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27CE"/>
    <w:rsid w:val="002C3014"/>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D74A8"/>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2266"/>
    <w:rsid w:val="003632C9"/>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5537"/>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3E18"/>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5C4"/>
    <w:rsid w:val="00423FE3"/>
    <w:rsid w:val="00425638"/>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696"/>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77E98"/>
    <w:rsid w:val="00482B06"/>
    <w:rsid w:val="00482C99"/>
    <w:rsid w:val="0048385F"/>
    <w:rsid w:val="00483A68"/>
    <w:rsid w:val="00483CF6"/>
    <w:rsid w:val="0048493E"/>
    <w:rsid w:val="004850FD"/>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728"/>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165"/>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3164"/>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8CB"/>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6A13"/>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139"/>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6B8A"/>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CB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1D44"/>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3CD2"/>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668"/>
    <w:rsid w:val="0094506E"/>
    <w:rsid w:val="00945728"/>
    <w:rsid w:val="009470D1"/>
    <w:rsid w:val="00947CE3"/>
    <w:rsid w:val="00950813"/>
    <w:rsid w:val="00950D14"/>
    <w:rsid w:val="0095192B"/>
    <w:rsid w:val="009526C6"/>
    <w:rsid w:val="009536E5"/>
    <w:rsid w:val="00953893"/>
    <w:rsid w:val="009538F9"/>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10AA"/>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8C6"/>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672"/>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536"/>
    <w:rsid w:val="00AD2DF4"/>
    <w:rsid w:val="00AD3125"/>
    <w:rsid w:val="00AD4BB3"/>
    <w:rsid w:val="00AD4F75"/>
    <w:rsid w:val="00AD555B"/>
    <w:rsid w:val="00AD5FEF"/>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1DA"/>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2322"/>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03F"/>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6C70"/>
    <w:rsid w:val="00D8720A"/>
    <w:rsid w:val="00D873C3"/>
    <w:rsid w:val="00D90931"/>
    <w:rsid w:val="00D91130"/>
    <w:rsid w:val="00D9152D"/>
    <w:rsid w:val="00D91D93"/>
    <w:rsid w:val="00D91DB5"/>
    <w:rsid w:val="00D9241A"/>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F"/>
    <w:rsid w:val="00E343BD"/>
    <w:rsid w:val="00E35A26"/>
    <w:rsid w:val="00E35D7F"/>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0C28"/>
    <w:rsid w:val="00E614EE"/>
    <w:rsid w:val="00E62566"/>
    <w:rsid w:val="00E62EEA"/>
    <w:rsid w:val="00E636C7"/>
    <w:rsid w:val="00E63933"/>
    <w:rsid w:val="00E647E9"/>
    <w:rsid w:val="00E64A0A"/>
    <w:rsid w:val="00E64B30"/>
    <w:rsid w:val="00E651A1"/>
    <w:rsid w:val="00E65221"/>
    <w:rsid w:val="00E6567F"/>
    <w:rsid w:val="00E66730"/>
    <w:rsid w:val="00E66FC1"/>
    <w:rsid w:val="00E670C2"/>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E28"/>
    <w:rsid w:val="00E92FE3"/>
    <w:rsid w:val="00E94E5C"/>
    <w:rsid w:val="00E95093"/>
    <w:rsid w:val="00E95EBF"/>
    <w:rsid w:val="00E96A09"/>
    <w:rsid w:val="00E974EB"/>
    <w:rsid w:val="00E978BC"/>
    <w:rsid w:val="00E97D31"/>
    <w:rsid w:val="00EA06F1"/>
    <w:rsid w:val="00EA0B47"/>
    <w:rsid w:val="00EA1781"/>
    <w:rsid w:val="00EA22B3"/>
    <w:rsid w:val="00EA4A7A"/>
    <w:rsid w:val="00EA4D67"/>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15A"/>
    <w:rsid w:val="00F0641A"/>
    <w:rsid w:val="00F066C6"/>
    <w:rsid w:val="00F06C41"/>
    <w:rsid w:val="00F077AB"/>
    <w:rsid w:val="00F079C2"/>
    <w:rsid w:val="00F07B6F"/>
    <w:rsid w:val="00F108AA"/>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60E9"/>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99686996">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432552291">
          <w:marLeft w:val="274"/>
          <w:marRight w:val="0"/>
          <w:marTop w:val="168"/>
          <w:marBottom w:val="0"/>
          <w:divBdr>
            <w:top w:val="none" w:sz="0" w:space="0" w:color="auto"/>
            <w:left w:val="none" w:sz="0" w:space="0" w:color="auto"/>
            <w:bottom w:val="none" w:sz="0" w:space="0" w:color="auto"/>
            <w:right w:val="none" w:sz="0" w:space="0" w:color="auto"/>
          </w:divBdr>
        </w:div>
        <w:div w:id="37153857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262467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95288602">
      <w:bodyDiv w:val="1"/>
      <w:marLeft w:val="0"/>
      <w:marRight w:val="0"/>
      <w:marTop w:val="0"/>
      <w:marBottom w:val="0"/>
      <w:divBdr>
        <w:top w:val="none" w:sz="0" w:space="0" w:color="auto"/>
        <w:left w:val="none" w:sz="0" w:space="0" w:color="auto"/>
        <w:bottom w:val="none" w:sz="0" w:space="0" w:color="auto"/>
        <w:right w:val="none" w:sz="0" w:space="0" w:color="auto"/>
      </w:divBdr>
      <w:divsChild>
        <w:div w:id="1954359039">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89339424">
      <w:bodyDiv w:val="1"/>
      <w:marLeft w:val="0"/>
      <w:marRight w:val="0"/>
      <w:marTop w:val="0"/>
      <w:marBottom w:val="0"/>
      <w:divBdr>
        <w:top w:val="none" w:sz="0" w:space="0" w:color="auto"/>
        <w:left w:val="none" w:sz="0" w:space="0" w:color="auto"/>
        <w:bottom w:val="none" w:sz="0" w:space="0" w:color="auto"/>
        <w:right w:val="none" w:sz="0" w:space="0" w:color="auto"/>
      </w:divBdr>
      <w:divsChild>
        <w:div w:id="1085494312">
          <w:marLeft w:val="547"/>
          <w:marRight w:val="0"/>
          <w:marTop w:val="86"/>
          <w:marBottom w:val="0"/>
          <w:divBdr>
            <w:top w:val="none" w:sz="0" w:space="0" w:color="auto"/>
            <w:left w:val="none" w:sz="0" w:space="0" w:color="auto"/>
            <w:bottom w:val="none" w:sz="0" w:space="0" w:color="auto"/>
            <w:right w:val="none" w:sz="0" w:space="0" w:color="auto"/>
          </w:divBdr>
        </w:div>
      </w:divsChild>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082DF6B-7D41-4F78-AA78-0950F008E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120</TotalTime>
  <Pages>4</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25</cp:revision>
  <cp:lastPrinted>2016-08-12T15:05:00Z</cp:lastPrinted>
  <dcterms:created xsi:type="dcterms:W3CDTF">2016-08-12T11:43:00Z</dcterms:created>
  <dcterms:modified xsi:type="dcterms:W3CDTF">2016-09-30T21:49:00Z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-1748294443</vt:i4>
  </property>
  <property fmtid="{D5CDD505-2E9C-101B-9397-08002B2CF9AE}" pid="11" name="_EmailSubject">
    <vt:lpwstr>FW: RAN4 Papers on coex</vt:lpwstr>
  </property>
  <property fmtid="{D5CDD505-2E9C-101B-9397-08002B2CF9AE}" pid="12" name="_AuthorEmail">
    <vt:lpwstr>vgheorgh@qti.qualcomm.com</vt:lpwstr>
  </property>
  <property fmtid="{D5CDD505-2E9C-101B-9397-08002B2CF9AE}" pid="13" name="_AuthorEmailDisplayName">
    <vt:lpwstr>Gheorghiu, Valentin</vt:lpwstr>
  </property>
  <property fmtid="{D5CDD505-2E9C-101B-9397-08002B2CF9AE}" pid="14" name="_PreviousAdHocReviewCycleID">
    <vt:i4>155950803</vt:i4>
  </property>
  <property fmtid="{D5CDD505-2E9C-101B-9397-08002B2CF9AE}" pid="15" name="_ReviewingToolsShownOnce">
    <vt:lpwstr/>
  </property>
</Properties>
</file>